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DF370">
      <w:pPr>
        <w:spacing w:line="360" w:lineRule="auto"/>
        <w:ind w:firstLine="160"/>
        <w:rPr>
          <w:sz w:val="60"/>
          <w:szCs w:val="60"/>
        </w:rPr>
      </w:pPr>
      <w:r>
        <w:rPr>
          <w:rFonts w:hint="eastAsia" w:ascii="CESI黑体-GB2312" w:hAnsi="CESI黑体-GB2312" w:eastAsia="CESI黑体-GB2312" w:cs="CESI黑体-GB2312"/>
          <w:sz w:val="32"/>
          <w:szCs w:val="32"/>
          <w:lang w:val="en-US" w:eastAsia="zh-CN"/>
        </w:rPr>
        <w:t xml:space="preserve"> </w:t>
      </w:r>
      <w:r>
        <w:rPr>
          <w:rFonts w:hint="eastAsia" w:ascii="CESI黑体-GB2312" w:hAnsi="CESI黑体-GB2312" w:eastAsia="CESI黑体-GB2312" w:cs="CESI黑体-GB2312"/>
          <w:sz w:val="32"/>
          <w:szCs w:val="32"/>
        </w:rPr>
        <w:t xml:space="preserve"> </w:t>
      </w:r>
    </w:p>
    <w:p w14:paraId="0202A0C1">
      <w:pPr>
        <w:jc w:val="center"/>
        <w:rPr>
          <w:b/>
          <w:bCs/>
          <w:sz w:val="60"/>
          <w:szCs w:val="60"/>
        </w:rPr>
      </w:pPr>
    </w:p>
    <w:p w14:paraId="7C29621D">
      <w:pPr>
        <w:jc w:val="center"/>
        <w:rPr>
          <w:b/>
          <w:bCs/>
          <w:sz w:val="60"/>
          <w:szCs w:val="60"/>
        </w:rPr>
      </w:pPr>
    </w:p>
    <w:p w14:paraId="1E6839B1">
      <w:pPr>
        <w:jc w:val="center"/>
        <w:rPr>
          <w:b/>
          <w:bCs/>
          <w:sz w:val="60"/>
          <w:szCs w:val="60"/>
        </w:rPr>
      </w:pPr>
      <w:r>
        <w:rPr>
          <w:b/>
          <w:bCs/>
          <w:sz w:val="60"/>
          <w:szCs w:val="60"/>
        </w:rPr>
        <w:t>常州市政府采购项目</w:t>
      </w:r>
    </w:p>
    <w:p w14:paraId="15578B19">
      <w:pPr>
        <w:jc w:val="center"/>
        <w:rPr>
          <w:b/>
          <w:bCs/>
          <w:sz w:val="60"/>
          <w:szCs w:val="60"/>
        </w:rPr>
      </w:pPr>
      <w:r>
        <w:rPr>
          <w:b/>
          <w:bCs/>
          <w:sz w:val="60"/>
          <w:szCs w:val="60"/>
        </w:rPr>
        <w:t>竞争性磋商文件</w:t>
      </w:r>
    </w:p>
    <w:p w14:paraId="48900240">
      <w:pPr>
        <w:spacing w:line="360" w:lineRule="auto"/>
        <w:jc w:val="center"/>
        <w:rPr>
          <w:rFonts w:ascii="宋体" w:hAnsi="宋体"/>
          <w:b/>
          <w:bCs/>
          <w:sz w:val="60"/>
          <w:szCs w:val="60"/>
        </w:rPr>
      </w:pPr>
    </w:p>
    <w:p w14:paraId="1DD518E7">
      <w:pPr>
        <w:spacing w:line="360" w:lineRule="auto"/>
        <w:jc w:val="center"/>
        <w:rPr>
          <w:rFonts w:ascii="宋体" w:hAnsi="宋体"/>
          <w:b/>
          <w:bCs/>
          <w:sz w:val="60"/>
          <w:szCs w:val="60"/>
        </w:rPr>
      </w:pPr>
    </w:p>
    <w:p w14:paraId="214740BF">
      <w:pPr>
        <w:spacing w:line="360" w:lineRule="auto"/>
        <w:jc w:val="center"/>
        <w:rPr>
          <w:rFonts w:ascii="宋体" w:hAnsi="宋体"/>
          <w:b/>
          <w:bCs/>
          <w:sz w:val="60"/>
          <w:szCs w:val="60"/>
        </w:rPr>
      </w:pPr>
    </w:p>
    <w:p w14:paraId="27D6DCFD">
      <w:pPr>
        <w:spacing w:line="360" w:lineRule="auto"/>
        <w:jc w:val="center"/>
        <w:rPr>
          <w:rFonts w:ascii="宋体" w:hAnsi="宋体"/>
          <w:b/>
          <w:bCs/>
          <w:sz w:val="60"/>
          <w:szCs w:val="60"/>
        </w:rPr>
      </w:pPr>
    </w:p>
    <w:p w14:paraId="4B3C2E6B">
      <w:pPr>
        <w:tabs>
          <w:tab w:val="left" w:pos="5609"/>
        </w:tabs>
        <w:spacing w:line="360" w:lineRule="auto"/>
        <w:ind w:left="1800" w:hanging="1800" w:hangingChars="500"/>
        <w:jc w:val="left"/>
        <w:rPr>
          <w:rFonts w:ascii="Times New Roman" w:hAnsi="Times New Roman" w:eastAsia="宋体" w:cs="Times New Roman"/>
          <w:bCs/>
          <w:sz w:val="36"/>
          <w:szCs w:val="36"/>
          <w:u w:val="none"/>
        </w:rPr>
      </w:pPr>
      <w:r>
        <w:rPr>
          <w:bCs/>
          <w:sz w:val="36"/>
          <w:szCs w:val="36"/>
          <w:u w:val="none"/>
        </w:rPr>
        <w:t>项目名称：</w:t>
      </w:r>
      <w:r>
        <w:rPr>
          <w:rFonts w:hint="eastAsia" w:cs="Times New Roman"/>
          <w:bCs/>
          <w:sz w:val="36"/>
          <w:szCs w:val="36"/>
          <w:u w:val="none"/>
          <w:lang w:eastAsia="zh-CN"/>
        </w:rPr>
        <w:t>埭头镇2025年-2026年、2026年-2027年考评区域内绿化养护项目</w:t>
      </w:r>
      <w:r>
        <w:rPr>
          <w:rFonts w:ascii="Times New Roman" w:hAnsi="Times New Roman" w:eastAsia="宋体" w:cs="Times New Roman"/>
          <w:bCs/>
          <w:sz w:val="36"/>
          <w:szCs w:val="36"/>
          <w:u w:val="none"/>
        </w:rPr>
        <w:tab/>
      </w:r>
      <w:r>
        <w:rPr>
          <w:rFonts w:ascii="Times New Roman" w:hAnsi="Times New Roman" w:eastAsia="宋体" w:cs="Times New Roman"/>
          <w:bCs/>
          <w:sz w:val="36"/>
          <w:szCs w:val="36"/>
          <w:u w:val="none"/>
        </w:rPr>
        <w:tab/>
      </w:r>
    </w:p>
    <w:p w14:paraId="0766CF1A">
      <w:pPr>
        <w:tabs>
          <w:tab w:val="left" w:pos="5609"/>
        </w:tabs>
        <w:spacing w:line="360" w:lineRule="auto"/>
        <w:jc w:val="left"/>
        <w:rPr>
          <w:rFonts w:hint="eastAsia" w:ascii="Times New Roman" w:hAnsi="Times New Roman" w:eastAsia="宋体" w:cs="Times New Roman"/>
          <w:bCs/>
          <w:color w:val="0000FF"/>
          <w:sz w:val="36"/>
          <w:szCs w:val="36"/>
          <w:highlight w:val="none"/>
          <w:u w:val="none"/>
          <w:lang w:eastAsia="zh-CN"/>
        </w:rPr>
      </w:pPr>
      <w:r>
        <w:rPr>
          <w:rFonts w:ascii="Times New Roman" w:hAnsi="Times New Roman" w:eastAsia="宋体" w:cs="Times New Roman"/>
          <w:bCs/>
          <w:sz w:val="36"/>
          <w:szCs w:val="36"/>
          <w:highlight w:val="none"/>
          <w:u w:val="none"/>
        </w:rPr>
        <w:t>项目编号：</w:t>
      </w:r>
      <w:r>
        <w:rPr>
          <w:rFonts w:hint="eastAsia" w:cs="Times New Roman"/>
          <w:bCs/>
          <w:color w:val="auto"/>
          <w:sz w:val="36"/>
          <w:szCs w:val="36"/>
          <w:highlight w:val="none"/>
          <w:u w:val="none"/>
          <w:lang w:eastAsia="zh-CN"/>
        </w:rPr>
        <w:t>JSZC-320481-LPHX-C2025-0008</w:t>
      </w:r>
    </w:p>
    <w:p w14:paraId="540E03CD">
      <w:pPr>
        <w:tabs>
          <w:tab w:val="left" w:pos="5609"/>
        </w:tabs>
        <w:spacing w:line="360" w:lineRule="auto"/>
        <w:jc w:val="left"/>
        <w:rPr>
          <w:rFonts w:ascii="Times New Roman" w:hAnsi="Times New Roman" w:eastAsia="宋体" w:cs="Times New Roman"/>
          <w:bCs/>
          <w:sz w:val="36"/>
          <w:szCs w:val="36"/>
          <w:u w:val="none"/>
        </w:rPr>
      </w:pPr>
      <w:r>
        <w:rPr>
          <w:rFonts w:ascii="Times New Roman" w:hAnsi="Times New Roman" w:eastAsia="宋体" w:cs="Times New Roman"/>
          <w:bCs/>
          <w:sz w:val="36"/>
          <w:szCs w:val="36"/>
          <w:u w:val="none"/>
        </w:rPr>
        <w:t>采 购 人：</w:t>
      </w:r>
      <w:r>
        <w:rPr>
          <w:rFonts w:hint="eastAsia" w:ascii="Times New Roman" w:hAnsi="Times New Roman" w:eastAsia="宋体" w:cs="Times New Roman"/>
          <w:bCs/>
          <w:sz w:val="36"/>
          <w:szCs w:val="36"/>
          <w:u w:val="none"/>
          <w:lang w:eastAsia="zh-CN"/>
        </w:rPr>
        <w:t>溧阳市埭头镇人民政府</w:t>
      </w:r>
    </w:p>
    <w:p w14:paraId="26B38E6B">
      <w:pPr>
        <w:tabs>
          <w:tab w:val="left" w:pos="5609"/>
        </w:tabs>
        <w:spacing w:line="360" w:lineRule="auto"/>
        <w:jc w:val="left"/>
        <w:rPr>
          <w:bCs/>
          <w:sz w:val="36"/>
          <w:szCs w:val="36"/>
          <w:u w:val="none"/>
        </w:rPr>
      </w:pPr>
      <w:r>
        <w:rPr>
          <w:rFonts w:hint="eastAsia" w:ascii="Times New Roman" w:hAnsi="Times New Roman" w:eastAsia="宋体" w:cs="Times New Roman"/>
          <w:bCs/>
          <w:sz w:val="36"/>
          <w:szCs w:val="36"/>
          <w:u w:val="none"/>
        </w:rPr>
        <w:t>采购</w:t>
      </w:r>
      <w:r>
        <w:rPr>
          <w:rFonts w:ascii="Times New Roman" w:hAnsi="Times New Roman" w:eastAsia="宋体" w:cs="Times New Roman"/>
          <w:bCs/>
          <w:sz w:val="36"/>
          <w:szCs w:val="36"/>
          <w:u w:val="none"/>
        </w:rPr>
        <w:t>代理机构：</w:t>
      </w:r>
      <w:r>
        <w:rPr>
          <w:rFonts w:hint="eastAsia" w:ascii="Times New Roman" w:hAnsi="Times New Roman" w:eastAsia="宋体" w:cs="Times New Roman"/>
          <w:bCs/>
          <w:sz w:val="36"/>
          <w:szCs w:val="36"/>
          <w:u w:val="none"/>
          <w:lang w:eastAsia="zh-CN"/>
        </w:rPr>
        <w:t>溧阳普弘信工程项目管理有限公司</w:t>
      </w:r>
      <w:r>
        <w:rPr>
          <w:rFonts w:ascii="Times New Roman" w:hAnsi="Times New Roman" w:eastAsia="宋体" w:cs="Times New Roman"/>
          <w:bCs/>
          <w:sz w:val="36"/>
          <w:szCs w:val="36"/>
          <w:u w:val="none"/>
        </w:rPr>
        <w:t xml:space="preserve"> </w:t>
      </w:r>
    </w:p>
    <w:p w14:paraId="02B58D95">
      <w:pPr>
        <w:pStyle w:val="261"/>
        <w:spacing w:line="360" w:lineRule="auto"/>
        <w:rPr>
          <w:rFonts w:ascii="Times New Roman" w:hAnsi="Times New Roman" w:cs="Times New Roman"/>
          <w:color w:val="000000"/>
          <w:sz w:val="32"/>
          <w:szCs w:val="32"/>
        </w:rPr>
      </w:pPr>
    </w:p>
    <w:p w14:paraId="0A32F307">
      <w:pPr>
        <w:spacing w:line="360" w:lineRule="auto"/>
        <w:jc w:val="center"/>
        <w:outlineLvl w:val="0"/>
      </w:pPr>
      <w:r>
        <w:rPr/>
        <w:br w:type="page" w:clear="all"/>
      </w:r>
      <w:bookmarkStart w:id="0" w:name="_Toc104818924"/>
    </w:p>
    <w:p w14:paraId="6F9D839A">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bookmarkEnd w:id="0"/>
    </w:p>
    <w:p w14:paraId="525900B7">
      <w:pPr>
        <w:pStyle w:val="234"/>
        <w:keepNext w:val="0"/>
        <w:keepLines w:val="0"/>
        <w:pageBreakBefore w:val="0"/>
        <w:widowControl w:val="0"/>
        <w:spacing w:line="360" w:lineRule="auto"/>
        <w:rPr>
          <w:rFonts w:ascii="Calibri" w:hAnsi="Calibri"/>
          <w:b w:val="0"/>
          <w:sz w:val="28"/>
          <w:szCs w:val="28"/>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250A78F0">
      <w:pPr>
        <w:pStyle w:val="234"/>
        <w:keepNext w:val="0"/>
        <w:keepLines w:val="0"/>
        <w:pageBreakBefore w:val="0"/>
        <w:widowControl w:val="0"/>
        <w:spacing w:line="360" w:lineRule="auto"/>
        <w:rPr>
          <w:rFonts w:ascii="Calibri" w:hAnsi="Calibri"/>
          <w:b w:val="0"/>
          <w:sz w:val="28"/>
          <w:szCs w:val="28"/>
        </w:rPr>
      </w:pPr>
      <w:r>
        <w:rPr>
          <w:rStyle w:val="258"/>
          <w:sz w:val="28"/>
          <w:szCs w:val="28"/>
        </w:rPr>
        <w:fldChar w:fldCharType="begin"/>
      </w:r>
      <w:r>
        <w:rPr>
          <w:rStyle w:val="258"/>
          <w:sz w:val="28"/>
          <w:szCs w:val="28"/>
        </w:rPr>
        <w:instrText xml:space="preserve"> </w:instrText>
      </w:r>
      <w:r>
        <w:rPr>
          <w:sz w:val="28"/>
          <w:szCs w:val="28"/>
        </w:rPr>
        <w:instrText xml:space="preserve">HYPERLINK \l "_Toc104818925"</w:instrText>
      </w:r>
      <w:r>
        <w:rPr>
          <w:rStyle w:val="258"/>
          <w:sz w:val="28"/>
          <w:szCs w:val="28"/>
        </w:rPr>
        <w:instrText xml:space="preserve"> </w:instrText>
      </w:r>
      <w:r>
        <w:rPr>
          <w:rStyle w:val="258"/>
          <w:sz w:val="28"/>
          <w:szCs w:val="28"/>
        </w:rPr>
        <w:fldChar w:fldCharType="separate"/>
      </w:r>
      <w:r>
        <w:rPr>
          <w:rStyle w:val="258"/>
          <w:rFonts w:hint="eastAsia"/>
          <w:sz w:val="28"/>
          <w:szCs w:val="28"/>
        </w:rPr>
        <w:t>第一章</w:t>
      </w:r>
      <w:r>
        <w:rPr>
          <w:rStyle w:val="258"/>
          <w:sz w:val="28"/>
          <w:szCs w:val="28"/>
        </w:rPr>
        <w:t xml:space="preserve">   </w:t>
      </w:r>
      <w:r>
        <w:rPr>
          <w:rStyle w:val="258"/>
          <w:rFonts w:hint="eastAsia"/>
          <w:sz w:val="28"/>
          <w:szCs w:val="28"/>
        </w:rPr>
        <w:t>采购邀请</w:t>
      </w:r>
      <w:r>
        <w:rPr>
          <w:sz w:val="28"/>
          <w:szCs w:val="28"/>
        </w:rPr>
        <w:tab/>
      </w:r>
      <w:r>
        <w:rPr>
          <w:sz w:val="28"/>
          <w:szCs w:val="28"/>
        </w:rPr>
        <w:fldChar w:fldCharType="begin"/>
      </w:r>
      <w:r>
        <w:rPr>
          <w:sz w:val="28"/>
          <w:szCs w:val="28"/>
        </w:rPr>
        <w:instrText xml:space="preserve"> PAGEREF _Toc104818925 \h </w:instrText>
      </w:r>
      <w:r>
        <w:rPr>
          <w:sz w:val="28"/>
          <w:szCs w:val="28"/>
        </w:rPr>
        <w:fldChar w:fldCharType="separate"/>
      </w:r>
      <w:r>
        <w:rPr>
          <w:sz w:val="28"/>
          <w:szCs w:val="28"/>
        </w:rPr>
        <w:t>1</w:t>
      </w:r>
      <w:r>
        <w:rPr>
          <w:sz w:val="28"/>
          <w:szCs w:val="28"/>
        </w:rPr>
        <w:fldChar w:fldCharType="end"/>
      </w:r>
      <w:r>
        <w:rPr>
          <w:rStyle w:val="258"/>
          <w:sz w:val="28"/>
          <w:szCs w:val="28"/>
        </w:rPr>
        <w:fldChar w:fldCharType="end"/>
      </w:r>
    </w:p>
    <w:p w14:paraId="20B72819">
      <w:pPr>
        <w:pStyle w:val="234"/>
        <w:keepNext w:val="0"/>
        <w:keepLines w:val="0"/>
        <w:pageBreakBefore w:val="0"/>
        <w:widowControl w:val="0"/>
        <w:spacing w:line="360" w:lineRule="auto"/>
        <w:rPr>
          <w:rStyle w:val="258"/>
          <w:sz w:val="28"/>
          <w:szCs w:val="28"/>
        </w:rPr>
      </w:pPr>
      <w:r>
        <w:rPr>
          <w:rStyle w:val="258"/>
          <w:sz w:val="28"/>
          <w:szCs w:val="28"/>
        </w:rPr>
        <w:fldChar w:fldCharType="begin"/>
      </w:r>
      <w:r>
        <w:rPr>
          <w:rStyle w:val="258"/>
          <w:sz w:val="28"/>
          <w:szCs w:val="28"/>
        </w:rPr>
        <w:instrText xml:space="preserve"> </w:instrText>
      </w:r>
      <w:r>
        <w:rPr>
          <w:sz w:val="28"/>
          <w:szCs w:val="28"/>
        </w:rPr>
        <w:instrText xml:space="preserve">HYPERLINK \l "_Toc104818926"</w:instrText>
      </w:r>
      <w:r>
        <w:rPr>
          <w:rStyle w:val="258"/>
          <w:sz w:val="28"/>
          <w:szCs w:val="28"/>
        </w:rPr>
        <w:instrText xml:space="preserve"> </w:instrText>
      </w:r>
      <w:r>
        <w:rPr>
          <w:rStyle w:val="258"/>
          <w:sz w:val="28"/>
          <w:szCs w:val="28"/>
        </w:rPr>
        <w:fldChar w:fldCharType="separate"/>
      </w:r>
      <w:r>
        <w:rPr>
          <w:rStyle w:val="258"/>
          <w:rFonts w:hint="eastAsia"/>
          <w:sz w:val="28"/>
          <w:szCs w:val="28"/>
        </w:rPr>
        <w:t>第二章</w:t>
      </w:r>
      <w:r>
        <w:rPr>
          <w:rStyle w:val="258"/>
          <w:sz w:val="28"/>
          <w:szCs w:val="28"/>
        </w:rPr>
        <w:t xml:space="preserve">   </w:t>
      </w:r>
      <w:r>
        <w:rPr>
          <w:rStyle w:val="258"/>
          <w:rFonts w:hint="eastAsia"/>
          <w:sz w:val="28"/>
          <w:szCs w:val="28"/>
        </w:rPr>
        <w:t>供应商须知</w:t>
      </w:r>
      <w:r>
        <w:rPr>
          <w:sz w:val="28"/>
          <w:szCs w:val="28"/>
        </w:rPr>
        <w:tab/>
      </w:r>
      <w:r>
        <w:rPr>
          <w:sz w:val="28"/>
          <w:szCs w:val="28"/>
        </w:rPr>
        <w:fldChar w:fldCharType="begin"/>
      </w:r>
      <w:r>
        <w:rPr>
          <w:sz w:val="28"/>
          <w:szCs w:val="28"/>
        </w:rPr>
        <w:instrText xml:space="preserve"> PAGEREF _Toc104818926 \h </w:instrText>
      </w:r>
      <w:r>
        <w:rPr>
          <w:sz w:val="28"/>
          <w:szCs w:val="28"/>
        </w:rPr>
        <w:fldChar w:fldCharType="separate"/>
      </w:r>
      <w:r>
        <w:rPr>
          <w:sz w:val="28"/>
          <w:szCs w:val="28"/>
        </w:rPr>
        <w:t>5</w:t>
      </w:r>
      <w:r>
        <w:rPr>
          <w:sz w:val="28"/>
          <w:szCs w:val="28"/>
        </w:rPr>
        <w:fldChar w:fldCharType="end"/>
      </w:r>
      <w:r>
        <w:rPr>
          <w:rStyle w:val="258"/>
          <w:sz w:val="28"/>
          <w:szCs w:val="28"/>
        </w:rPr>
        <w:fldChar w:fldCharType="end"/>
      </w:r>
    </w:p>
    <w:p w14:paraId="08032BA4">
      <w:pPr>
        <w:pStyle w:val="234"/>
        <w:keepNext w:val="0"/>
        <w:keepLines w:val="0"/>
        <w:pageBreakBefore w:val="0"/>
        <w:widowControl w:val="0"/>
        <w:spacing w:line="360" w:lineRule="auto"/>
        <w:rPr>
          <w:rStyle w:val="258"/>
          <w:sz w:val="28"/>
          <w:szCs w:val="28"/>
        </w:rPr>
      </w:pPr>
      <w:r>
        <w:rPr>
          <w:rStyle w:val="258"/>
          <w:sz w:val="28"/>
          <w:szCs w:val="28"/>
        </w:rPr>
        <w:fldChar w:fldCharType="begin"/>
      </w:r>
      <w:r>
        <w:rPr>
          <w:rStyle w:val="258"/>
          <w:sz w:val="28"/>
          <w:szCs w:val="28"/>
        </w:rPr>
        <w:instrText xml:space="preserve"> </w:instrText>
      </w:r>
      <w:r>
        <w:rPr>
          <w:sz w:val="28"/>
          <w:szCs w:val="28"/>
        </w:rPr>
        <w:instrText xml:space="preserve">HYPERLINK \l "_Toc104818927"</w:instrText>
      </w:r>
      <w:r>
        <w:rPr>
          <w:rStyle w:val="258"/>
          <w:sz w:val="28"/>
          <w:szCs w:val="28"/>
        </w:rPr>
        <w:instrText xml:space="preserve"> </w:instrText>
      </w:r>
      <w:r>
        <w:rPr>
          <w:rStyle w:val="258"/>
          <w:sz w:val="28"/>
          <w:szCs w:val="28"/>
        </w:rPr>
        <w:fldChar w:fldCharType="separate"/>
      </w:r>
      <w:r>
        <w:rPr>
          <w:rStyle w:val="258"/>
          <w:rFonts w:hint="eastAsia"/>
          <w:sz w:val="28"/>
          <w:szCs w:val="28"/>
        </w:rPr>
        <w:t>第三章</w:t>
      </w:r>
      <w:r>
        <w:rPr>
          <w:rStyle w:val="258"/>
          <w:sz w:val="28"/>
          <w:szCs w:val="28"/>
        </w:rPr>
        <w:t xml:space="preserve">   </w:t>
      </w:r>
      <w:r>
        <w:rPr>
          <w:rStyle w:val="258"/>
          <w:rFonts w:hint="eastAsia"/>
          <w:sz w:val="28"/>
          <w:szCs w:val="28"/>
        </w:rPr>
        <w:t>评审程序、评审方法和评审标准</w:t>
      </w:r>
      <w:r>
        <w:rPr>
          <w:sz w:val="28"/>
          <w:szCs w:val="28"/>
        </w:rPr>
        <w:tab/>
      </w:r>
      <w:r>
        <w:rPr>
          <w:sz w:val="28"/>
          <w:szCs w:val="28"/>
        </w:rPr>
        <w:fldChar w:fldCharType="begin"/>
      </w:r>
      <w:r>
        <w:rPr>
          <w:sz w:val="28"/>
          <w:szCs w:val="28"/>
        </w:rPr>
        <w:instrText xml:space="preserve"> PAGEREF _Toc104818927 \h </w:instrText>
      </w:r>
      <w:r>
        <w:rPr>
          <w:sz w:val="28"/>
          <w:szCs w:val="28"/>
        </w:rPr>
        <w:fldChar w:fldCharType="separate"/>
      </w:r>
      <w:r>
        <w:rPr>
          <w:sz w:val="28"/>
          <w:szCs w:val="28"/>
        </w:rPr>
        <w:t>17</w:t>
      </w:r>
      <w:r>
        <w:rPr>
          <w:sz w:val="28"/>
          <w:szCs w:val="28"/>
        </w:rPr>
        <w:fldChar w:fldCharType="end"/>
      </w:r>
      <w:r>
        <w:rPr>
          <w:rStyle w:val="258"/>
          <w:sz w:val="28"/>
          <w:szCs w:val="28"/>
        </w:rPr>
        <w:fldChar w:fldCharType="end"/>
      </w:r>
    </w:p>
    <w:p w14:paraId="36DEF8ED">
      <w:pPr>
        <w:pStyle w:val="234"/>
        <w:keepNext w:val="0"/>
        <w:keepLines w:val="0"/>
        <w:pageBreakBefore w:val="0"/>
        <w:widowControl w:val="0"/>
        <w:spacing w:line="360" w:lineRule="auto"/>
        <w:rPr>
          <w:rStyle w:val="258"/>
          <w:sz w:val="28"/>
          <w:szCs w:val="28"/>
        </w:rPr>
      </w:pPr>
      <w:r>
        <w:rPr>
          <w:rStyle w:val="258"/>
          <w:sz w:val="28"/>
          <w:szCs w:val="28"/>
        </w:rPr>
        <w:fldChar w:fldCharType="begin"/>
      </w:r>
      <w:r>
        <w:rPr>
          <w:rStyle w:val="258"/>
          <w:sz w:val="28"/>
          <w:szCs w:val="28"/>
        </w:rPr>
        <w:instrText xml:space="preserve"> </w:instrText>
      </w:r>
      <w:r>
        <w:rPr>
          <w:sz w:val="28"/>
          <w:szCs w:val="28"/>
        </w:rPr>
        <w:instrText xml:space="preserve">HYPERLINK \l "_Toc104818928"</w:instrText>
      </w:r>
      <w:r>
        <w:rPr>
          <w:rStyle w:val="258"/>
          <w:sz w:val="28"/>
          <w:szCs w:val="28"/>
        </w:rPr>
        <w:instrText xml:space="preserve"> </w:instrText>
      </w:r>
      <w:r>
        <w:rPr>
          <w:rStyle w:val="258"/>
          <w:sz w:val="28"/>
          <w:szCs w:val="28"/>
        </w:rPr>
        <w:fldChar w:fldCharType="separate"/>
      </w:r>
      <w:r>
        <w:rPr>
          <w:rStyle w:val="258"/>
          <w:rFonts w:hint="eastAsia"/>
          <w:sz w:val="28"/>
          <w:szCs w:val="28"/>
        </w:rPr>
        <w:t>第四章</w:t>
      </w:r>
      <w:r>
        <w:rPr>
          <w:rStyle w:val="258"/>
          <w:sz w:val="28"/>
          <w:szCs w:val="28"/>
        </w:rPr>
        <w:t xml:space="preserve">   </w:t>
      </w:r>
      <w:r>
        <w:rPr>
          <w:rStyle w:val="258"/>
          <w:rFonts w:hint="eastAsia"/>
          <w:sz w:val="28"/>
          <w:szCs w:val="28"/>
        </w:rPr>
        <w:t>采购需求</w:t>
      </w:r>
      <w:r>
        <w:rPr>
          <w:sz w:val="28"/>
          <w:szCs w:val="28"/>
        </w:rPr>
        <w:tab/>
      </w:r>
      <w:r>
        <w:rPr>
          <w:sz w:val="28"/>
          <w:szCs w:val="28"/>
        </w:rPr>
        <w:fldChar w:fldCharType="begin"/>
      </w:r>
      <w:r>
        <w:rPr>
          <w:sz w:val="28"/>
          <w:szCs w:val="28"/>
        </w:rPr>
        <w:instrText xml:space="preserve"> PAGEREF _Toc104818928 \h </w:instrText>
      </w:r>
      <w:r>
        <w:rPr>
          <w:sz w:val="28"/>
          <w:szCs w:val="28"/>
        </w:rPr>
        <w:fldChar w:fldCharType="separate"/>
      </w:r>
      <w:r>
        <w:rPr>
          <w:sz w:val="28"/>
          <w:szCs w:val="28"/>
        </w:rPr>
        <w:t>26</w:t>
      </w:r>
      <w:r>
        <w:rPr>
          <w:sz w:val="28"/>
          <w:szCs w:val="28"/>
        </w:rPr>
        <w:fldChar w:fldCharType="end"/>
      </w:r>
      <w:r>
        <w:rPr>
          <w:rStyle w:val="258"/>
          <w:sz w:val="28"/>
          <w:szCs w:val="28"/>
        </w:rPr>
        <w:fldChar w:fldCharType="end"/>
      </w:r>
    </w:p>
    <w:p w14:paraId="181F4E62">
      <w:pPr>
        <w:pStyle w:val="234"/>
        <w:keepNext w:val="0"/>
        <w:keepLines w:val="0"/>
        <w:pageBreakBefore w:val="0"/>
        <w:widowControl w:val="0"/>
        <w:spacing w:line="360" w:lineRule="auto"/>
        <w:rPr>
          <w:rStyle w:val="258"/>
          <w:sz w:val="28"/>
          <w:szCs w:val="28"/>
        </w:rPr>
      </w:pPr>
      <w:r>
        <w:rPr>
          <w:rStyle w:val="258"/>
          <w:sz w:val="28"/>
          <w:szCs w:val="28"/>
        </w:rPr>
        <w:fldChar w:fldCharType="begin"/>
      </w:r>
      <w:r>
        <w:rPr>
          <w:rStyle w:val="258"/>
          <w:sz w:val="28"/>
          <w:szCs w:val="28"/>
        </w:rPr>
        <w:instrText xml:space="preserve"> </w:instrText>
      </w:r>
      <w:r>
        <w:rPr>
          <w:sz w:val="28"/>
          <w:szCs w:val="28"/>
        </w:rPr>
        <w:instrText xml:space="preserve">HYPERLINK \l "_Toc104818929"</w:instrText>
      </w:r>
      <w:r>
        <w:rPr>
          <w:rStyle w:val="258"/>
          <w:sz w:val="28"/>
          <w:szCs w:val="28"/>
        </w:rPr>
        <w:instrText xml:space="preserve"> </w:instrText>
      </w:r>
      <w:r>
        <w:rPr>
          <w:rStyle w:val="258"/>
          <w:sz w:val="28"/>
          <w:szCs w:val="28"/>
        </w:rPr>
        <w:fldChar w:fldCharType="separate"/>
      </w:r>
      <w:r>
        <w:rPr>
          <w:rStyle w:val="258"/>
          <w:rFonts w:hint="eastAsia"/>
          <w:sz w:val="28"/>
          <w:szCs w:val="28"/>
        </w:rPr>
        <w:t>第五章</w:t>
      </w:r>
      <w:r>
        <w:rPr>
          <w:rStyle w:val="258"/>
          <w:sz w:val="28"/>
          <w:szCs w:val="28"/>
        </w:rPr>
        <w:t xml:space="preserve">   </w:t>
      </w:r>
      <w:r>
        <w:rPr>
          <w:rStyle w:val="258"/>
          <w:rFonts w:hint="eastAsia"/>
          <w:sz w:val="28"/>
          <w:szCs w:val="28"/>
        </w:rPr>
        <w:t>合同草案条款</w:t>
      </w:r>
      <w:r>
        <w:rPr>
          <w:sz w:val="28"/>
          <w:szCs w:val="28"/>
        </w:rPr>
        <w:tab/>
      </w:r>
      <w:r>
        <w:rPr>
          <w:sz w:val="28"/>
          <w:szCs w:val="28"/>
        </w:rPr>
        <w:fldChar w:fldCharType="begin"/>
      </w:r>
      <w:r>
        <w:rPr>
          <w:sz w:val="28"/>
          <w:szCs w:val="28"/>
        </w:rPr>
        <w:instrText xml:space="preserve"> PAGEREF _Toc104818929 \h </w:instrText>
      </w:r>
      <w:r>
        <w:rPr>
          <w:sz w:val="28"/>
          <w:szCs w:val="28"/>
        </w:rPr>
        <w:fldChar w:fldCharType="separate"/>
      </w:r>
      <w:r>
        <w:rPr>
          <w:sz w:val="28"/>
          <w:szCs w:val="28"/>
        </w:rPr>
        <w:t>35</w:t>
      </w:r>
      <w:r>
        <w:rPr>
          <w:sz w:val="28"/>
          <w:szCs w:val="28"/>
        </w:rPr>
        <w:fldChar w:fldCharType="end"/>
      </w:r>
      <w:r>
        <w:rPr>
          <w:rStyle w:val="258"/>
          <w:sz w:val="28"/>
          <w:szCs w:val="28"/>
        </w:rPr>
        <w:fldChar w:fldCharType="end"/>
      </w:r>
    </w:p>
    <w:p w14:paraId="4861E161">
      <w:pPr>
        <w:pStyle w:val="234"/>
        <w:keepNext w:val="0"/>
        <w:keepLines w:val="0"/>
        <w:pageBreakBefore w:val="0"/>
        <w:widowControl w:val="0"/>
        <w:spacing w:line="360" w:lineRule="auto"/>
        <w:rPr>
          <w:rFonts w:ascii="Calibri" w:hAnsi="Calibri"/>
          <w:b w:val="0"/>
          <w:sz w:val="21"/>
          <w:szCs w:val="22"/>
        </w:rPr>
      </w:pPr>
      <w:r>
        <w:rPr>
          <w:rStyle w:val="258"/>
          <w:sz w:val="28"/>
          <w:szCs w:val="28"/>
        </w:rPr>
        <w:fldChar w:fldCharType="begin"/>
      </w:r>
      <w:r>
        <w:rPr>
          <w:rStyle w:val="258"/>
          <w:sz w:val="28"/>
          <w:szCs w:val="28"/>
        </w:rPr>
        <w:instrText xml:space="preserve"> </w:instrText>
      </w:r>
      <w:r>
        <w:rPr>
          <w:sz w:val="28"/>
          <w:szCs w:val="28"/>
        </w:rPr>
        <w:instrText xml:space="preserve">HYPERLINK \l "_Toc104818930"</w:instrText>
      </w:r>
      <w:r>
        <w:rPr>
          <w:rStyle w:val="258"/>
          <w:sz w:val="28"/>
          <w:szCs w:val="28"/>
        </w:rPr>
        <w:instrText xml:space="preserve"> </w:instrText>
      </w:r>
      <w:r>
        <w:rPr>
          <w:rStyle w:val="258"/>
          <w:sz w:val="28"/>
          <w:szCs w:val="28"/>
        </w:rPr>
        <w:fldChar w:fldCharType="separate"/>
      </w:r>
      <w:r>
        <w:rPr>
          <w:rStyle w:val="258"/>
          <w:rFonts w:hint="eastAsia"/>
          <w:sz w:val="28"/>
          <w:szCs w:val="28"/>
        </w:rPr>
        <w:t>第六章</w:t>
      </w:r>
      <w:r>
        <w:rPr>
          <w:rStyle w:val="258"/>
          <w:sz w:val="28"/>
          <w:szCs w:val="28"/>
        </w:rPr>
        <w:t xml:space="preserve">   </w:t>
      </w:r>
      <w:r>
        <w:rPr>
          <w:rStyle w:val="258"/>
          <w:rFonts w:hint="eastAsia"/>
          <w:sz w:val="28"/>
          <w:szCs w:val="28"/>
        </w:rPr>
        <w:t>响应文件格式</w:t>
      </w:r>
      <w:r>
        <w:rPr>
          <w:sz w:val="28"/>
          <w:szCs w:val="28"/>
        </w:rPr>
        <w:tab/>
      </w:r>
      <w:r>
        <w:rPr>
          <w:sz w:val="28"/>
          <w:szCs w:val="28"/>
        </w:rPr>
        <w:fldChar w:fldCharType="begin"/>
      </w:r>
      <w:r>
        <w:rPr>
          <w:sz w:val="28"/>
          <w:szCs w:val="28"/>
        </w:rPr>
        <w:instrText xml:space="preserve"> PAGEREF _Toc104818930 \h </w:instrText>
      </w:r>
      <w:r>
        <w:rPr>
          <w:sz w:val="28"/>
          <w:szCs w:val="28"/>
        </w:rPr>
        <w:fldChar w:fldCharType="separate"/>
      </w:r>
      <w:r>
        <w:rPr>
          <w:sz w:val="28"/>
          <w:szCs w:val="28"/>
        </w:rPr>
        <w:t>39</w:t>
      </w:r>
      <w:r>
        <w:rPr>
          <w:sz w:val="28"/>
          <w:szCs w:val="28"/>
        </w:rPr>
        <w:fldChar w:fldCharType="end"/>
      </w:r>
      <w:r>
        <w:rPr>
          <w:rStyle w:val="258"/>
          <w:sz w:val="28"/>
          <w:szCs w:val="28"/>
        </w:rPr>
        <w:fldChar w:fldCharType="end"/>
      </w:r>
    </w:p>
    <w:p w14:paraId="7EE8BF2C">
      <w:pPr>
        <w:pStyle w:val="234"/>
        <w:spacing w:line="360" w:lineRule="auto"/>
        <w:rPr>
          <w:rFonts w:ascii="Times New Roman" w:hAnsi="Times New Roman"/>
          <w:b w:val="0"/>
        </w:rPr>
      </w:pPr>
      <w:r>
        <w:rPr>
          <w:rFonts w:ascii="Times New Roman" w:hAnsi="Times New Roman"/>
          <w:b w:val="0"/>
        </w:rPr>
        <w:fldChar w:fldCharType="end"/>
      </w:r>
    </w:p>
    <w:p w14:paraId="11B970FC">
      <w:pPr>
        <w:pStyle w:val="234"/>
        <w:spacing w:line="360" w:lineRule="auto"/>
        <w:rPr>
          <w:b w:val="0"/>
          <w:sz w:val="36"/>
          <w:szCs w:val="36"/>
        </w:rPr>
      </w:pPr>
    </w:p>
    <w:p w14:paraId="220FAA2A">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type w:val="nextColumn"/>
          <w:pgSz w:w="11907" w:h="16840"/>
          <w:pgMar w:top="1418" w:right="1134" w:bottom="1418" w:left="1701" w:header="851" w:footer="851" w:gutter="0"/>
          <w:pgBorders>
            <w:top w:val="none" w:sz="0" w:space="0"/>
            <w:left w:val="none" w:sz="0" w:space="0"/>
            <w:bottom w:val="none" w:sz="0" w:space="0"/>
            <w:right w:val="none" w:sz="0" w:space="0"/>
          </w:pgBorders>
          <w:pgNumType w:fmt="decimal" w:start="1"/>
          <w:cols w:space="1701" w:num="1"/>
          <w:titlePg/>
          <w:docGrid w:linePitch="360" w:charSpace="0"/>
        </w:sectPr>
      </w:pPr>
    </w:p>
    <w:p w14:paraId="3C37046E">
      <w:pPr>
        <w:spacing w:line="360" w:lineRule="auto"/>
        <w:jc w:val="center"/>
        <w:outlineLvl w:val="0"/>
        <w:rPr>
          <w:b/>
          <w:sz w:val="36"/>
          <w:szCs w:val="36"/>
        </w:rPr>
      </w:pPr>
      <w:bookmarkStart w:id="1" w:name="_Toc104818925"/>
      <w:r>
        <w:rPr>
          <w:b/>
          <w:sz w:val="36"/>
          <w:szCs w:val="36"/>
        </w:rPr>
        <w:t>第一章   采购邀请</w:t>
      </w:r>
      <w:bookmarkEnd w:id="1"/>
      <w:bookmarkStart w:id="2" w:name="_Toc28359079"/>
      <w:bookmarkStart w:id="3" w:name="_Toc35393621"/>
      <w:bookmarkStart w:id="4" w:name="_Toc28359002"/>
      <w:bookmarkStart w:id="5" w:name="_Toc35393790"/>
      <w:bookmarkStart w:id="6" w:name="_Hlk24379207"/>
    </w:p>
    <w:p w14:paraId="4EB42BBF">
      <w:pPr>
        <w:pStyle w:val="184"/>
        <w:pageBreakBefore w:val="0"/>
        <w:spacing w:before="0" w:line="360" w:lineRule="auto"/>
        <w:ind w:left="0" w:firstLine="482"/>
        <w:jc w:val="left"/>
        <w:rPr>
          <w:rFonts w:ascii="Times New Roman" w:hAnsi="Times New Roman" w:eastAsia="宋体"/>
          <w:sz w:val="24"/>
          <w:szCs w:val="24"/>
        </w:rPr>
      </w:pPr>
      <w:r>
        <w:rPr>
          <w:rFonts w:ascii="Times New Roman" w:hAnsi="Times New Roman" w:eastAsia="宋体"/>
          <w:sz w:val="24"/>
          <w:szCs w:val="24"/>
        </w:rPr>
        <w:t>一、项目基本情况</w:t>
      </w:r>
      <w:bookmarkEnd w:id="2"/>
      <w:bookmarkEnd w:id="3"/>
      <w:bookmarkEnd w:id="4"/>
      <w:bookmarkEnd w:id="5"/>
    </w:p>
    <w:p w14:paraId="084F7154">
      <w:pPr>
        <w:pageBreakBefore w:val="0"/>
        <w:spacing w:line="360" w:lineRule="auto"/>
        <w:ind w:left="0" w:firstLine="480"/>
        <w:rPr>
          <w:rFonts w:hint="eastAsia" w:ascii="Times New Roman" w:hAnsi="Times New Roman" w:eastAsia="宋体" w:cs="Times New Roman"/>
          <w:sz w:val="24"/>
          <w:lang w:eastAsia="zh-CN"/>
        </w:rPr>
      </w:pPr>
      <w:r>
        <w:rPr>
          <w:rFonts w:hint="eastAsia"/>
          <w:sz w:val="24"/>
          <w:lang w:val="en-US" w:eastAsia="zh-CN"/>
        </w:rPr>
        <w:t>1.</w:t>
      </w:r>
      <w:r>
        <w:rPr>
          <w:sz w:val="24"/>
        </w:rPr>
        <w:t>项目编号：</w:t>
      </w:r>
      <w:r>
        <w:rPr>
          <w:rFonts w:hint="eastAsia" w:cs="Times New Roman"/>
          <w:sz w:val="24"/>
          <w:highlight w:val="none"/>
          <w:lang w:eastAsia="zh-CN"/>
        </w:rPr>
        <w:t>JSZC-320481-LPHX-C2025-0008</w:t>
      </w:r>
    </w:p>
    <w:p w14:paraId="25DEC457">
      <w:pPr>
        <w:pageBreakBefore w:val="0"/>
        <w:spacing w:line="360" w:lineRule="auto"/>
        <w:ind w:left="0" w:firstLine="480"/>
        <w:rPr>
          <w:rFonts w:ascii="Times New Roman" w:hAnsi="Times New Roman" w:eastAsia="宋体" w:cs="Times New Roman"/>
          <w:sz w:val="24"/>
        </w:rPr>
      </w:pPr>
      <w:r>
        <w:rPr>
          <w:rFonts w:hint="eastAsia"/>
          <w:sz w:val="24"/>
          <w:lang w:val="en-US" w:eastAsia="zh-CN"/>
        </w:rPr>
        <w:t>2.</w:t>
      </w:r>
      <w:r>
        <w:rPr>
          <w:sz w:val="24"/>
        </w:rPr>
        <w:t>项目名称：</w:t>
      </w:r>
      <w:r>
        <w:rPr>
          <w:rFonts w:hint="eastAsia" w:cs="Times New Roman"/>
          <w:sz w:val="24"/>
          <w:lang w:eastAsia="zh-CN"/>
        </w:rPr>
        <w:t>埭头镇2025年-2026年、2026年-2027年考评区域内绿化养护项目</w:t>
      </w:r>
    </w:p>
    <w:p w14:paraId="2F8F3AE6">
      <w:pPr>
        <w:pageBreakBefore w:val="0"/>
        <w:spacing w:line="360" w:lineRule="auto"/>
        <w:ind w:left="0" w:firstLine="480"/>
        <w:rPr>
          <w:rFonts w:ascii="Times New Roman" w:hAnsi="Times New Roman" w:eastAsia="宋体" w:cs="Times New Roman"/>
          <w:color w:val="auto"/>
          <w:sz w:val="24"/>
        </w:rPr>
      </w:pPr>
      <w:r>
        <w:rPr>
          <w:rFonts w:hint="eastAsia"/>
          <w:color w:val="auto"/>
          <w:sz w:val="24"/>
          <w:lang w:val="en-US" w:eastAsia="zh-CN"/>
        </w:rPr>
        <w:t>3.</w:t>
      </w:r>
      <w:r>
        <w:rPr>
          <w:color w:val="auto"/>
          <w:sz w:val="24"/>
        </w:rPr>
        <w:t>采购方式：</w:t>
      </w:r>
      <w:r>
        <w:rPr>
          <w:rFonts w:ascii="Times New Roman" w:hAnsi="Times New Roman" w:eastAsia="宋体" w:cs="Times New Roman"/>
          <w:color w:val="auto"/>
          <w:sz w:val="24"/>
        </w:rPr>
        <w:t>竞争性磋商</w:t>
      </w:r>
    </w:p>
    <w:bookmarkEnd w:id="6"/>
    <w:p w14:paraId="2B7197FB">
      <w:pPr>
        <w:pageBreakBefore w:val="0"/>
        <w:spacing w:line="360" w:lineRule="auto"/>
        <w:ind w:left="0" w:firstLine="480"/>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en-US" w:eastAsia="zh-CN"/>
        </w:rPr>
        <w:t>4.</w:t>
      </w:r>
      <w:r>
        <w:rPr>
          <w:rFonts w:ascii="Times New Roman" w:hAnsi="Times New Roman" w:eastAsia="宋体" w:cs="Times New Roman"/>
          <w:color w:val="auto"/>
          <w:sz w:val="24"/>
          <w:highlight w:val="none"/>
        </w:rPr>
        <w:t>项目预算金额</w:t>
      </w:r>
      <w:r>
        <w:rPr>
          <w:rFonts w:hint="eastAsia" w:cs="Times New Roman"/>
          <w:color w:val="auto"/>
          <w:sz w:val="24"/>
          <w:highlight w:val="none"/>
          <w:lang w:val="en-US" w:eastAsia="zh-CN"/>
        </w:rPr>
        <w:t>：166.4万元、项目最高限价：166.4万元</w:t>
      </w:r>
    </w:p>
    <w:p w14:paraId="27BF710E">
      <w:pPr>
        <w:pageBreakBefore w:val="0"/>
        <w:spacing w:line="360" w:lineRule="auto"/>
        <w:ind w:left="0" w:firstLine="480"/>
        <w:rPr>
          <w:rFonts w:hint="eastAsia"/>
          <w:sz w:val="24"/>
          <w:highlight w:val="none"/>
        </w:rPr>
      </w:pPr>
      <w:r>
        <w:rPr>
          <w:rFonts w:hint="eastAsia"/>
          <w:sz w:val="24"/>
          <w:highlight w:val="none"/>
          <w:lang w:val="en-US" w:eastAsia="zh-CN"/>
        </w:rPr>
        <w:t>5.</w:t>
      </w:r>
      <w:r>
        <w:rPr>
          <w:sz w:val="24"/>
          <w:highlight w:val="none"/>
        </w:rPr>
        <w:t>采购需求：</w:t>
      </w:r>
      <w:r>
        <w:rPr>
          <w:rFonts w:hint="eastAsia"/>
          <w:sz w:val="24"/>
          <w:highlight w:val="none"/>
          <w:lang w:val="en-US" w:eastAsia="zh-CN"/>
        </w:rPr>
        <w:t>镇区范围</w:t>
      </w:r>
      <w:r>
        <w:rPr>
          <w:rFonts w:hint="eastAsia"/>
          <w:sz w:val="24"/>
          <w:highlight w:val="none"/>
        </w:rPr>
        <w:t>绿化养护。</w:t>
      </w:r>
    </w:p>
    <w:p w14:paraId="22F6BA34">
      <w:pPr>
        <w:pageBreakBefore w:val="0"/>
        <w:spacing w:line="360" w:lineRule="auto"/>
        <w:ind w:left="0" w:firstLine="480"/>
        <w:rPr>
          <w:rFonts w:hint="eastAsia" w:ascii="Times New Roman" w:hAnsi="Times New Roman" w:eastAsia="宋体" w:cs="Times New Roman"/>
          <w:sz w:val="24"/>
          <w:highlight w:val="none"/>
          <w:lang w:eastAsia="zh-CN"/>
        </w:rPr>
      </w:pPr>
      <w:r>
        <w:rPr>
          <w:rFonts w:hint="eastAsia" w:ascii="Times New Roman" w:hAnsi="Times New Roman" w:eastAsia="宋体" w:cs="Times New Roman"/>
          <w:sz w:val="24"/>
          <w:highlight w:val="none"/>
        </w:rPr>
        <w:t>6.合同履行期限：</w:t>
      </w:r>
      <w:bookmarkStart w:id="7" w:name="_Toc28359080"/>
      <w:bookmarkStart w:id="8" w:name="_Toc35393622"/>
      <w:bookmarkStart w:id="9" w:name="_Toc35393791"/>
      <w:bookmarkStart w:id="10" w:name="_Toc28359003"/>
      <w:r>
        <w:rPr>
          <w:rFonts w:hint="eastAsia" w:ascii="Times New Roman" w:hAnsi="Times New Roman" w:eastAsia="宋体" w:cs="Times New Roman"/>
          <w:sz w:val="24"/>
          <w:highlight w:val="none"/>
        </w:rPr>
        <w:t>合同签订后</w:t>
      </w:r>
      <w:r>
        <w:rPr>
          <w:rFonts w:hint="eastAsia" w:cs="Times New Roman"/>
          <w:sz w:val="24"/>
          <w:highlight w:val="none"/>
          <w:lang w:val="en-US" w:eastAsia="zh-CN"/>
        </w:rPr>
        <w:t>两</w:t>
      </w:r>
      <w:r>
        <w:rPr>
          <w:rFonts w:hint="eastAsia" w:ascii="Times New Roman" w:hAnsi="Times New Roman" w:eastAsia="宋体" w:cs="Times New Roman"/>
          <w:sz w:val="24"/>
          <w:highlight w:val="none"/>
        </w:rPr>
        <w:t>年</w:t>
      </w:r>
      <w:r>
        <w:rPr>
          <w:rFonts w:hint="eastAsia" w:cs="Times New Roman"/>
          <w:sz w:val="24"/>
          <w:highlight w:val="none"/>
          <w:lang w:eastAsia="zh-CN"/>
        </w:rPr>
        <w:t>。</w:t>
      </w:r>
    </w:p>
    <w:p w14:paraId="7D9E61E0">
      <w:pPr>
        <w:pageBreakBefore w:val="0"/>
        <w:spacing w:line="360" w:lineRule="auto"/>
        <w:ind w:left="0" w:firstLine="480"/>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7.本项目是否接受联合体响应：否。</w:t>
      </w:r>
    </w:p>
    <w:p w14:paraId="7E23D38C">
      <w:pPr>
        <w:pStyle w:val="184"/>
        <w:pageBreakBefore w:val="0"/>
        <w:spacing w:before="0" w:line="360" w:lineRule="auto"/>
        <w:ind w:left="0" w:firstLine="482"/>
        <w:jc w:val="left"/>
        <w:rPr>
          <w:rFonts w:ascii="Times New Roman" w:hAnsi="Times New Roman" w:eastAsia="宋体" w:cs="Times New Roman"/>
          <w:b/>
          <w:sz w:val="24"/>
          <w:szCs w:val="24"/>
        </w:rPr>
      </w:pPr>
      <w:r>
        <w:rPr>
          <w:rFonts w:ascii="Times New Roman" w:hAnsi="Times New Roman" w:eastAsia="宋体" w:cs="Times New Roman"/>
          <w:b/>
          <w:sz w:val="24"/>
          <w:szCs w:val="24"/>
        </w:rPr>
        <w:t>二、申请人的资格要求</w:t>
      </w:r>
      <w:bookmarkEnd w:id="7"/>
      <w:bookmarkEnd w:id="8"/>
      <w:bookmarkEnd w:id="9"/>
      <w:bookmarkEnd w:id="10"/>
    </w:p>
    <w:p w14:paraId="161F47A5">
      <w:pPr>
        <w:pageBreakBefore w:val="0"/>
        <w:widowControl/>
        <w:spacing w:line="360" w:lineRule="auto"/>
        <w:ind w:left="0" w:firstLine="480"/>
        <w:rPr>
          <w:rFonts w:ascii="宋体" w:hAnsi="宋体" w:eastAsia="宋体" w:cs="宋体"/>
          <w:sz w:val="24"/>
          <w:szCs w:val="24"/>
        </w:rPr>
      </w:pPr>
      <w:bookmarkStart w:id="11" w:name="_Toc28359081"/>
      <w:bookmarkStart w:id="12" w:name="_Toc28359004"/>
      <w:r>
        <w:rPr>
          <w:rFonts w:hint="eastAsia" w:ascii="Times New Roman" w:hAnsi="Times New Roman" w:eastAsia="宋体" w:cs="宋体"/>
          <w:sz w:val="24"/>
          <w:szCs w:val="21"/>
        </w:rPr>
        <w:t>1.满足《中华人民共和国政府采购法》第二十二条规定</w:t>
      </w:r>
      <w:r>
        <w:rPr>
          <w:rFonts w:ascii="宋体" w:hAnsi="宋体" w:eastAsia="宋体" w:cs="宋体"/>
          <w:sz w:val="24"/>
          <w:szCs w:val="24"/>
        </w:rPr>
        <w:t>以及下列情形：</w:t>
      </w:r>
    </w:p>
    <w:p w14:paraId="32247DC6">
      <w:pPr>
        <w:pageBreakBefore w:val="0"/>
        <w:widowControl/>
        <w:spacing w:line="360" w:lineRule="auto"/>
        <w:ind w:left="0" w:firstLine="480"/>
        <w:rPr>
          <w:rFonts w:ascii="宋体" w:hAnsi="宋体" w:eastAsia="宋体" w:cs="宋体"/>
          <w:sz w:val="24"/>
          <w:szCs w:val="24"/>
        </w:rPr>
      </w:pPr>
      <w:r>
        <w:rPr>
          <w:rFonts w:hint="eastAsia" w:ascii="Times New Roman" w:hAnsi="Times New Roman" w:eastAsia="宋体" w:cs="宋体"/>
          <w:sz w:val="24"/>
          <w:szCs w:val="21"/>
          <w:lang w:val="en-US" w:eastAsia="zh-CN"/>
        </w:rPr>
        <w:t>1.1</w:t>
      </w:r>
      <w:r>
        <w:rPr>
          <w:rFonts w:ascii="宋体" w:hAnsi="宋体" w:eastAsia="宋体" w:cs="宋体"/>
          <w:sz w:val="24"/>
          <w:szCs w:val="24"/>
        </w:rPr>
        <w:t>未被</w:t>
      </w:r>
      <w:r>
        <w:rPr>
          <w:rFonts w:hint="eastAsia" w:ascii="宋体" w:hAnsi="宋体" w:eastAsia="宋体" w:cs="宋体"/>
          <w:sz w:val="24"/>
          <w:szCs w:val="24"/>
          <w:lang w:eastAsia="zh-CN"/>
        </w:rPr>
        <w:t>“</w:t>
      </w:r>
      <w:r>
        <w:rPr>
          <w:rFonts w:ascii="宋体" w:hAnsi="宋体" w:eastAsia="宋体" w:cs="宋体"/>
          <w:sz w:val="24"/>
          <w:szCs w:val="24"/>
        </w:rPr>
        <w:t>信用中国</w:t>
      </w:r>
      <w:r>
        <w:rPr>
          <w:rFonts w:hint="eastAsia" w:ascii="宋体" w:hAnsi="宋体" w:eastAsia="宋体" w:cs="宋体"/>
          <w:sz w:val="24"/>
          <w:szCs w:val="24"/>
          <w:lang w:eastAsia="zh-CN"/>
        </w:rPr>
        <w:t>”</w:t>
      </w:r>
      <w:r>
        <w:rPr>
          <w:rFonts w:ascii="宋体" w:hAnsi="宋体" w:eastAsia="宋体" w:cs="宋体"/>
          <w:sz w:val="24"/>
          <w:szCs w:val="24"/>
        </w:rPr>
        <w:t>网站（WWW.creditchina.gov.cn）或</w:t>
      </w:r>
      <w:r>
        <w:rPr>
          <w:rFonts w:hint="eastAsia" w:ascii="宋体" w:hAnsi="宋体" w:eastAsia="宋体" w:cs="宋体"/>
          <w:sz w:val="24"/>
          <w:szCs w:val="24"/>
          <w:lang w:eastAsia="zh-CN"/>
        </w:rPr>
        <w:t>“</w:t>
      </w:r>
      <w:r>
        <w:rPr>
          <w:rFonts w:ascii="宋体" w:hAnsi="宋体" w:eastAsia="宋体" w:cs="宋体"/>
          <w:sz w:val="24"/>
          <w:szCs w:val="24"/>
        </w:rPr>
        <w:t>中国政府采购网</w:t>
      </w:r>
      <w:r>
        <w:rPr>
          <w:rFonts w:hint="eastAsia" w:ascii="宋体" w:hAnsi="宋体" w:eastAsia="宋体" w:cs="宋体"/>
          <w:sz w:val="24"/>
          <w:szCs w:val="24"/>
          <w:lang w:eastAsia="zh-CN"/>
        </w:rPr>
        <w:t>”</w:t>
      </w:r>
      <w:r>
        <w:rPr>
          <w:rFonts w:ascii="宋体" w:hAnsi="宋体" w:eastAsia="宋体" w:cs="宋体"/>
          <w:sz w:val="24"/>
          <w:szCs w:val="24"/>
        </w:rPr>
        <w:t>网站（www.ccgp.gov.cn）列入失信被执行人、重大税收违法案件当事人名单、政府采购严重失信行为记录名单；</w:t>
      </w:r>
    </w:p>
    <w:p w14:paraId="55A5802B">
      <w:pPr>
        <w:pageBreakBefore w:val="0"/>
        <w:widowControl/>
        <w:spacing w:line="360" w:lineRule="auto"/>
        <w:ind w:left="0" w:firstLine="480"/>
        <w:rPr>
          <w:rFonts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1.2</w:t>
      </w:r>
      <w:r>
        <w:rPr>
          <w:rFonts w:ascii="宋体" w:hAnsi="宋体" w:eastAsia="宋体" w:cs="宋体"/>
          <w:sz w:val="24"/>
          <w:szCs w:val="24"/>
        </w:rPr>
        <w:t xml:space="preserve"> 单位负责人为同一人或者存在直接控股、管理关系的不同供应商（包含法定代表人为同一个人的两个及两个以上法人，母公司、全资子公司及其控股公司），不得参加同一合同项下的政府采购活动。</w:t>
      </w:r>
    </w:p>
    <w:p w14:paraId="19623DD5">
      <w:pPr>
        <w:pageBreakBefore w:val="0"/>
        <w:widowControl/>
        <w:spacing w:line="360" w:lineRule="auto"/>
        <w:ind w:left="0" w:firstLine="480"/>
        <w:rPr>
          <w:rFonts w:hint="eastAsia" w:ascii="Times New Roman" w:hAnsi="Times New Roman" w:eastAsia="宋体" w:cs="宋体"/>
          <w:sz w:val="24"/>
          <w:szCs w:val="21"/>
        </w:rPr>
      </w:pPr>
      <w:r>
        <w:rPr>
          <w:rFonts w:hint="eastAsia" w:ascii="Times New Roman" w:hAnsi="Times New Roman" w:eastAsia="宋体" w:cs="宋体"/>
          <w:sz w:val="24"/>
          <w:szCs w:val="21"/>
        </w:rPr>
        <w:t>2.落实政府</w:t>
      </w:r>
      <w:r>
        <w:rPr>
          <w:rFonts w:hint="eastAsia" w:ascii="Times New Roman" w:hAnsi="Times New Roman" w:eastAsia="宋体" w:cs="宋体"/>
          <w:sz w:val="24"/>
          <w:szCs w:val="21"/>
          <w:lang w:eastAsia="zh-CN"/>
        </w:rPr>
        <w:t>采购</w:t>
      </w:r>
      <w:r>
        <w:rPr>
          <w:rFonts w:hint="eastAsia" w:ascii="Times New Roman" w:hAnsi="Times New Roman" w:eastAsia="宋体" w:cs="宋体"/>
          <w:sz w:val="24"/>
          <w:szCs w:val="21"/>
        </w:rPr>
        <w:t>政策需满足的资格要求：</w:t>
      </w:r>
    </w:p>
    <w:p w14:paraId="4FC6C257">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2.1中小企业政策</w:t>
      </w:r>
    </w:p>
    <w:p w14:paraId="29BC908A">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本项目专门面向中小企业采购。即：提供的工程全部由符合政策要求的中小/小微企业制造、服务全部由符合政策要求的中小/小微企业承接</w:t>
      </w:r>
      <w:r>
        <w:rPr>
          <w:rFonts w:hint="eastAsia" w:ascii="Times New Roman" w:hAnsi="Times New Roman" w:eastAsia="宋体" w:cs="宋体"/>
          <w:b/>
          <w:bCs/>
          <w:sz w:val="24"/>
          <w:szCs w:val="21"/>
          <w:lang w:val="en-US" w:eastAsia="zh-CN"/>
        </w:rPr>
        <w:t>。</w:t>
      </w:r>
    </w:p>
    <w:p w14:paraId="2DA43B7E">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2.2 其它落实政府采购政策的资格要求（如有）：</w:t>
      </w:r>
      <w:r>
        <w:rPr>
          <w:rFonts w:hint="eastAsia" w:ascii="Times New Roman" w:hAnsi="Times New Roman" w:eastAsia="宋体" w:cs="宋体"/>
          <w:sz w:val="24"/>
          <w:szCs w:val="21"/>
          <w:u w:val="single"/>
          <w:lang w:val="en-US" w:eastAsia="zh-CN"/>
        </w:rPr>
        <w:t xml:space="preserve">  /   </w:t>
      </w:r>
      <w:r>
        <w:rPr>
          <w:rFonts w:hint="eastAsia" w:ascii="Times New Roman" w:hAnsi="Times New Roman" w:eastAsia="宋体" w:cs="宋体"/>
          <w:sz w:val="24"/>
          <w:szCs w:val="21"/>
          <w:lang w:val="en-US" w:eastAsia="zh-CN"/>
        </w:rPr>
        <w:t>。</w:t>
      </w:r>
    </w:p>
    <w:p w14:paraId="433BEA6E">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3.本项目的特定资格要求：</w:t>
      </w:r>
    </w:p>
    <w:p w14:paraId="4042B457">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3.1</w:t>
      </w:r>
      <w:r>
        <w:rPr>
          <w:rFonts w:ascii="宋体" w:hAnsi="宋体" w:eastAsia="宋体" w:cs="宋体"/>
          <w:sz w:val="24"/>
          <w:szCs w:val="24"/>
        </w:rPr>
        <w:t>本项目是否接受分支机构参与响应：否；</w:t>
      </w:r>
    </w:p>
    <w:p w14:paraId="526ACC78">
      <w:pPr>
        <w:pageBreakBefore w:val="0"/>
        <w:widowControl/>
        <w:spacing w:line="360" w:lineRule="auto"/>
        <w:ind w:left="0" w:firstLine="480"/>
        <w:rPr>
          <w:rFonts w:hint="eastAsia" w:ascii="Times New Roman" w:hAnsi="Times New Roman" w:eastAsia="宋体" w:cs="宋体"/>
          <w:sz w:val="24"/>
          <w:szCs w:val="21"/>
          <w:lang w:val="en-US" w:eastAsia="zh-CN"/>
        </w:rPr>
      </w:pPr>
      <w:r>
        <w:rPr>
          <w:rFonts w:hint="eastAsia" w:ascii="Times New Roman" w:hAnsi="Times New Roman" w:eastAsia="宋体" w:cs="宋体"/>
          <w:sz w:val="24"/>
          <w:szCs w:val="21"/>
          <w:lang w:val="en-US" w:eastAsia="zh-CN"/>
        </w:rPr>
        <w:t>3.2本项目是否属于政府购买服务：否；</w:t>
      </w:r>
    </w:p>
    <w:p w14:paraId="519B2988">
      <w:pPr>
        <w:pageBreakBefore w:val="0"/>
        <w:widowControl/>
        <w:spacing w:line="360" w:lineRule="auto"/>
        <w:ind w:left="0" w:firstLine="480"/>
        <w:rPr>
          <w:rFonts w:hint="default" w:ascii="Times New Roman" w:hAnsi="Times New Roman" w:eastAsia="宋体" w:cs="宋体"/>
          <w:sz w:val="24"/>
          <w:szCs w:val="21"/>
          <w:u w:val="single"/>
          <w:lang w:val="en-US" w:eastAsia="zh-CN"/>
        </w:rPr>
      </w:pPr>
      <w:r>
        <w:rPr>
          <w:rFonts w:hint="eastAsia" w:ascii="Times New Roman" w:hAnsi="Times New Roman" w:eastAsia="宋体" w:cs="宋体"/>
          <w:sz w:val="24"/>
          <w:szCs w:val="21"/>
          <w:lang w:val="en-US" w:eastAsia="zh-CN"/>
        </w:rPr>
        <w:t>3.3其他特定资格要求：</w:t>
      </w:r>
      <w:r>
        <w:rPr>
          <w:rFonts w:hint="eastAsia" w:cs="宋体"/>
          <w:sz w:val="24"/>
          <w:szCs w:val="21"/>
          <w:u w:val="single"/>
          <w:lang w:val="en-US" w:eastAsia="zh-CN"/>
        </w:rPr>
        <w:t xml:space="preserve">    /    </w:t>
      </w:r>
    </w:p>
    <w:bookmarkEnd w:id="11"/>
    <w:bookmarkEnd w:id="12"/>
    <w:p w14:paraId="00B39FDD">
      <w:pPr>
        <w:pStyle w:val="184"/>
        <w:pageBreakBefore w:val="0"/>
        <w:widowControl/>
        <w:spacing w:before="0" w:line="360" w:lineRule="auto"/>
        <w:ind w:left="0" w:firstLine="482"/>
        <w:jc w:val="left"/>
        <w:rPr>
          <w:rFonts w:ascii="Times New Roman" w:hAnsi="Times New Roman" w:eastAsia="宋体"/>
          <w:sz w:val="24"/>
          <w:szCs w:val="24"/>
        </w:rPr>
      </w:pPr>
      <w:bookmarkStart w:id="13" w:name="_Toc35393792"/>
      <w:bookmarkStart w:id="14" w:name="_Toc35393623"/>
      <w:r>
        <w:rPr>
          <w:rFonts w:ascii="Times New Roman" w:hAnsi="Times New Roman" w:eastAsia="宋体"/>
          <w:sz w:val="24"/>
          <w:szCs w:val="24"/>
        </w:rPr>
        <w:t>三、获取</w:t>
      </w:r>
      <w:r>
        <w:rPr>
          <w:rFonts w:hint="eastAsia" w:ascii="Times New Roman" w:hAnsi="Times New Roman" w:eastAsia="宋体"/>
          <w:sz w:val="24"/>
          <w:szCs w:val="24"/>
          <w:lang w:eastAsia="zh-CN"/>
        </w:rPr>
        <w:t>磋商</w:t>
      </w:r>
      <w:r>
        <w:rPr>
          <w:rFonts w:ascii="Times New Roman" w:hAnsi="Times New Roman" w:eastAsia="宋体"/>
          <w:sz w:val="24"/>
          <w:szCs w:val="24"/>
        </w:rPr>
        <w:t>文件</w:t>
      </w:r>
      <w:bookmarkEnd w:id="13"/>
      <w:bookmarkEnd w:id="14"/>
    </w:p>
    <w:p w14:paraId="56F25E36">
      <w:pPr>
        <w:pageBreakBefore w:val="0"/>
        <w:spacing w:line="360" w:lineRule="auto"/>
        <w:ind w:left="0" w:firstLine="480"/>
        <w:rPr>
          <w:sz w:val="24"/>
          <w:lang w:bidi="ar"/>
        </w:rPr>
      </w:pPr>
      <w:r>
        <w:rPr>
          <w:sz w:val="24"/>
          <w:lang w:bidi="ar"/>
        </w:rPr>
        <w:t>1.时间：</w:t>
      </w:r>
      <w:r>
        <w:rPr>
          <w:rFonts w:hint="eastAsia"/>
          <w:sz w:val="24"/>
          <w:highlight w:val="none"/>
          <w:lang w:val="en-US" w:eastAsia="zh-CN"/>
        </w:rPr>
        <w:t>2025年</w:t>
      </w:r>
      <w:r>
        <w:rPr>
          <w:rFonts w:hint="eastAsia"/>
          <w:sz w:val="24"/>
          <w:highlight w:val="none"/>
          <w:lang w:val="en-US" w:eastAsia="zh-CN" w:bidi="ar"/>
        </w:rPr>
        <w:t>12</w:t>
      </w:r>
      <w:r>
        <w:rPr>
          <w:sz w:val="24"/>
          <w:highlight w:val="none"/>
          <w:lang w:bidi="ar"/>
        </w:rPr>
        <w:t>月</w:t>
      </w:r>
      <w:r>
        <w:rPr>
          <w:rFonts w:hint="eastAsia"/>
          <w:sz w:val="24"/>
          <w:highlight w:val="none"/>
          <w:lang w:val="en-US" w:eastAsia="zh-CN" w:bidi="ar"/>
        </w:rPr>
        <w:t>25</w:t>
      </w:r>
      <w:r>
        <w:rPr>
          <w:sz w:val="24"/>
          <w:highlight w:val="none"/>
          <w:lang w:bidi="ar"/>
        </w:rPr>
        <w:t>日至</w:t>
      </w:r>
      <w:r>
        <w:rPr>
          <w:rFonts w:hint="eastAsia"/>
          <w:sz w:val="24"/>
          <w:highlight w:val="none"/>
          <w:lang w:val="en-US" w:eastAsia="zh-CN"/>
        </w:rPr>
        <w:t>2026年</w:t>
      </w:r>
      <w:r>
        <w:rPr>
          <w:rFonts w:hint="eastAsia"/>
          <w:sz w:val="24"/>
          <w:highlight w:val="none"/>
          <w:lang w:val="en-US" w:eastAsia="zh-CN" w:bidi="ar"/>
        </w:rPr>
        <w:t>1</w:t>
      </w:r>
      <w:r>
        <w:rPr>
          <w:sz w:val="24"/>
          <w:highlight w:val="none"/>
          <w:lang w:bidi="ar"/>
        </w:rPr>
        <w:t>月</w:t>
      </w:r>
      <w:r>
        <w:rPr>
          <w:rFonts w:hint="eastAsia"/>
          <w:sz w:val="24"/>
          <w:highlight w:val="none"/>
          <w:lang w:val="en-US" w:eastAsia="zh-CN" w:bidi="ar"/>
        </w:rPr>
        <w:t>4</w:t>
      </w:r>
      <w:r>
        <w:rPr>
          <w:sz w:val="24"/>
          <w:highlight w:val="none"/>
          <w:lang w:bidi="ar"/>
        </w:rPr>
        <w:t>日</w:t>
      </w:r>
      <w:r>
        <w:rPr>
          <w:sz w:val="24"/>
          <w:lang w:bidi="ar"/>
        </w:rPr>
        <w:t>。</w:t>
      </w:r>
    </w:p>
    <w:p w14:paraId="730B1B79">
      <w:pPr>
        <w:pageBreakBefore w:val="0"/>
        <w:spacing w:line="360" w:lineRule="auto"/>
        <w:ind w:left="0" w:firstLine="480"/>
        <w:rPr>
          <w:sz w:val="24"/>
        </w:rPr>
      </w:pPr>
      <w:r>
        <w:rPr>
          <w:sz w:val="24"/>
          <w:lang w:bidi="ar"/>
        </w:rPr>
        <w:t>2.地点：</w:t>
      </w:r>
      <w:r>
        <w:rPr>
          <w:rFonts w:hint="eastAsia" w:ascii="宋体" w:hAnsi="宋体" w:eastAsia="宋体" w:cs="宋体"/>
          <w:color w:val="000000"/>
          <w:sz w:val="24"/>
          <w:lang w:eastAsia="zh-CN"/>
        </w:rPr>
        <w:t>“</w:t>
      </w:r>
      <w:r>
        <w:rPr>
          <w:rFonts w:ascii="宋体" w:hAnsi="宋体" w:eastAsia="宋体" w:cs="宋体"/>
          <w:color w:val="000000"/>
          <w:sz w:val="24"/>
        </w:rPr>
        <w:t>苏采云</w:t>
      </w:r>
      <w:r>
        <w:rPr>
          <w:rFonts w:hint="eastAsia" w:ascii="宋体" w:hAnsi="宋体" w:eastAsia="宋体" w:cs="宋体"/>
          <w:color w:val="000000"/>
          <w:sz w:val="24"/>
          <w:lang w:eastAsia="zh-CN"/>
        </w:rPr>
        <w:t>”</w:t>
      </w:r>
      <w:r>
        <w:rPr>
          <w:rFonts w:ascii="宋体" w:hAnsi="宋体" w:eastAsia="宋体" w:cs="宋体"/>
          <w:color w:val="000000"/>
          <w:sz w:val="24"/>
        </w:rPr>
        <w:t>政府采购一体化平台</w:t>
      </w:r>
    </w:p>
    <w:p w14:paraId="36FDDF1E">
      <w:pPr>
        <w:pageBreakBefore w:val="0"/>
        <w:widowControl/>
        <w:spacing w:line="360" w:lineRule="auto"/>
        <w:ind w:left="0" w:firstLine="480"/>
        <w:rPr>
          <w:rFonts w:hint="eastAsia" w:ascii="Times New Roman" w:hAnsi="Times New Roman" w:eastAsia="宋体" w:cs="宋体"/>
          <w:b/>
          <w:bCs/>
          <w:sz w:val="24"/>
          <w:szCs w:val="21"/>
          <w:lang w:eastAsia="zh-CN"/>
        </w:rPr>
      </w:pPr>
      <w:r>
        <w:rPr>
          <w:rFonts w:hint="eastAsia"/>
          <w:sz w:val="24"/>
          <w:lang w:val="en-US" w:eastAsia="zh-CN" w:bidi="ar"/>
        </w:rPr>
        <w:t>3.</w:t>
      </w:r>
      <w:r>
        <w:rPr>
          <w:sz w:val="24"/>
          <w:lang w:bidi="ar"/>
        </w:rPr>
        <w:t>方式：</w:t>
      </w:r>
      <w:bookmarkStart w:id="15" w:name="_Toc35393630"/>
      <w:r>
        <w:rPr>
          <w:rFonts w:hint="eastAsia"/>
          <w:sz w:val="24"/>
          <w:lang w:bidi="ar"/>
        </w:rPr>
        <w:t>供应商持CA数字认证证书登录</w:t>
      </w:r>
      <w:r>
        <w:rPr>
          <w:rFonts w:hint="eastAsia"/>
          <w:sz w:val="24"/>
          <w:lang w:eastAsia="zh-CN" w:bidi="ar"/>
        </w:rPr>
        <w:t>“</w:t>
      </w:r>
      <w:r>
        <w:rPr>
          <w:rFonts w:hint="eastAsia"/>
          <w:sz w:val="24"/>
          <w:lang w:bidi="ar"/>
        </w:rPr>
        <w:t>苏采云</w:t>
      </w:r>
      <w:r>
        <w:rPr>
          <w:rFonts w:hint="eastAsia"/>
          <w:sz w:val="24"/>
          <w:lang w:eastAsia="zh-CN" w:bidi="ar"/>
        </w:rPr>
        <w:t>”</w:t>
      </w:r>
      <w:r>
        <w:rPr>
          <w:rFonts w:hint="eastAsia"/>
          <w:sz w:val="24"/>
          <w:lang w:bidi="ar"/>
        </w:rPr>
        <w:t>政府采购一体化平台（http://jszfcg.jsczt.cn/jszc/login）获取电子版采购文件。</w:t>
      </w:r>
      <w:bookmarkEnd w:id="15"/>
    </w:p>
    <w:p w14:paraId="062D27F4">
      <w:pPr>
        <w:pageBreakBefore w:val="0"/>
        <w:widowControl/>
        <w:spacing w:line="360" w:lineRule="auto"/>
        <w:ind w:left="0" w:firstLine="480"/>
        <w:rPr>
          <w:rFonts w:hint="eastAsia" w:ascii="Times New Roman" w:hAnsi="Times New Roman" w:eastAsia="宋体" w:cs="宋体"/>
          <w:sz w:val="24"/>
          <w:szCs w:val="21"/>
        </w:rPr>
      </w:pPr>
      <w:r>
        <w:rPr>
          <w:sz w:val="24"/>
          <w:lang w:bidi="ar"/>
        </w:rPr>
        <w:t>4.售价</w:t>
      </w:r>
      <w:r>
        <w:rPr>
          <w:rFonts w:hint="eastAsia" w:ascii="Times New Roman" w:hAnsi="Times New Roman" w:eastAsia="宋体" w:cs="宋体"/>
          <w:sz w:val="24"/>
          <w:szCs w:val="21"/>
        </w:rPr>
        <w:t>：</w:t>
      </w:r>
      <w:r>
        <w:rPr>
          <w:rFonts w:hint="eastAsia" w:ascii="Times New Roman" w:hAnsi="Times New Roman" w:eastAsia="宋体" w:cs="宋体"/>
          <w:sz w:val="24"/>
          <w:szCs w:val="21"/>
          <w:lang w:val="en-US" w:eastAsia="zh-CN"/>
        </w:rPr>
        <w:t>0.00</w:t>
      </w:r>
      <w:r>
        <w:rPr>
          <w:rFonts w:hint="eastAsia" w:ascii="Times New Roman" w:hAnsi="Times New Roman" w:eastAsia="宋体" w:cs="宋体"/>
          <w:sz w:val="24"/>
          <w:szCs w:val="21"/>
        </w:rPr>
        <w:t>元。</w:t>
      </w:r>
    </w:p>
    <w:p w14:paraId="47922B75">
      <w:pPr>
        <w:pStyle w:val="184"/>
        <w:pageBreakBefore w:val="0"/>
        <w:widowControl/>
        <w:spacing w:before="0" w:line="360" w:lineRule="auto"/>
        <w:ind w:left="0" w:firstLine="482"/>
        <w:jc w:val="left"/>
        <w:rPr>
          <w:rFonts w:ascii="Times New Roman" w:hAnsi="Times New Roman" w:eastAsia="宋体"/>
          <w:sz w:val="24"/>
          <w:szCs w:val="24"/>
        </w:rPr>
      </w:pPr>
      <w:bookmarkStart w:id="16" w:name="_Toc28359082"/>
      <w:bookmarkStart w:id="17" w:name="_Toc35393624"/>
      <w:bookmarkStart w:id="18" w:name="_Toc28359005"/>
      <w:bookmarkStart w:id="19" w:name="_Toc35393793"/>
      <w:r>
        <w:rPr>
          <w:rFonts w:ascii="Times New Roman" w:hAnsi="Times New Roman" w:eastAsia="宋体"/>
          <w:sz w:val="24"/>
          <w:szCs w:val="24"/>
        </w:rPr>
        <w:t>四、</w:t>
      </w:r>
      <w:bookmarkEnd w:id="16"/>
      <w:bookmarkEnd w:id="17"/>
      <w:bookmarkEnd w:id="18"/>
      <w:bookmarkEnd w:id="19"/>
      <w:r>
        <w:rPr>
          <w:rFonts w:ascii="Times New Roman" w:hAnsi="Times New Roman" w:eastAsia="宋体"/>
          <w:sz w:val="24"/>
          <w:szCs w:val="24"/>
        </w:rPr>
        <w:t>响应文件提交</w:t>
      </w:r>
    </w:p>
    <w:p w14:paraId="7DC543BA">
      <w:pPr>
        <w:pageBreakBefore w:val="0"/>
        <w:spacing w:line="360" w:lineRule="auto"/>
        <w:ind w:left="0" w:firstLine="480"/>
        <w:rPr>
          <w:bCs/>
          <w:sz w:val="24"/>
          <w:u w:val="single"/>
        </w:rPr>
      </w:pPr>
      <w:r>
        <w:rPr>
          <w:sz w:val="24"/>
          <w:lang w:bidi="ar"/>
        </w:rPr>
        <w:t>截止时间：</w:t>
      </w:r>
      <w:r>
        <w:rPr>
          <w:rFonts w:hint="eastAsia" w:cs="Times New Roman"/>
          <w:sz w:val="24"/>
          <w:highlight w:val="none"/>
          <w:lang w:eastAsia="zh-CN" w:bidi="ar"/>
        </w:rPr>
        <w:t>202</w:t>
      </w:r>
      <w:r>
        <w:rPr>
          <w:rFonts w:hint="eastAsia" w:cs="Times New Roman"/>
          <w:sz w:val="24"/>
          <w:highlight w:val="none"/>
          <w:lang w:val="en-US" w:eastAsia="zh-CN" w:bidi="ar"/>
        </w:rPr>
        <w:t>6</w:t>
      </w:r>
      <w:r>
        <w:rPr>
          <w:rFonts w:hint="eastAsia" w:cs="Times New Roman"/>
          <w:sz w:val="24"/>
          <w:highlight w:val="none"/>
          <w:lang w:eastAsia="zh-CN" w:bidi="ar"/>
        </w:rPr>
        <w:t>年</w:t>
      </w:r>
      <w:r>
        <w:rPr>
          <w:rFonts w:hint="eastAsia" w:cs="Times New Roman"/>
          <w:sz w:val="24"/>
          <w:highlight w:val="none"/>
          <w:lang w:val="en-US" w:eastAsia="zh-CN" w:bidi="ar"/>
        </w:rPr>
        <w:t>1</w:t>
      </w:r>
      <w:r>
        <w:rPr>
          <w:rFonts w:hint="eastAsia" w:ascii="Times New Roman" w:hAnsi="Times New Roman" w:eastAsia="宋体" w:cs="Times New Roman"/>
          <w:sz w:val="24"/>
          <w:highlight w:val="none"/>
          <w:lang w:bidi="ar"/>
        </w:rPr>
        <w:t>月</w:t>
      </w:r>
      <w:r>
        <w:rPr>
          <w:rFonts w:hint="eastAsia" w:cs="Times New Roman"/>
          <w:sz w:val="24"/>
          <w:highlight w:val="none"/>
          <w:lang w:val="en-US" w:eastAsia="zh-CN" w:bidi="ar"/>
        </w:rPr>
        <w:t>6</w:t>
      </w:r>
      <w:bookmarkStart w:id="699" w:name="_GoBack"/>
      <w:bookmarkEnd w:id="699"/>
      <w:r>
        <w:rPr>
          <w:rFonts w:hint="eastAsia" w:ascii="Times New Roman" w:hAnsi="Times New Roman" w:eastAsia="宋体" w:cs="Times New Roman"/>
          <w:sz w:val="24"/>
          <w:highlight w:val="none"/>
          <w:lang w:bidi="ar"/>
        </w:rPr>
        <w:t>日</w:t>
      </w:r>
      <w:r>
        <w:rPr>
          <w:rFonts w:hint="eastAsia" w:ascii="Times New Roman" w:hAnsi="Times New Roman" w:eastAsia="宋体" w:cs="Times New Roman"/>
          <w:sz w:val="24"/>
          <w:highlight w:val="none"/>
          <w:lang w:eastAsia="zh-CN" w:bidi="ar"/>
        </w:rPr>
        <w:t>下午</w:t>
      </w:r>
      <w:r>
        <w:rPr>
          <w:rFonts w:hint="eastAsia" w:ascii="Times New Roman" w:hAnsi="Times New Roman" w:eastAsia="宋体" w:cs="Times New Roman"/>
          <w:sz w:val="24"/>
          <w:highlight w:val="none"/>
          <w:lang w:val="en-US" w:eastAsia="zh-CN" w:bidi="ar"/>
        </w:rPr>
        <w:t>14:00</w:t>
      </w:r>
      <w:r>
        <w:rPr>
          <w:rFonts w:hint="eastAsia" w:ascii="Times New Roman" w:hAnsi="Times New Roman" w:eastAsia="宋体" w:cs="Times New Roman"/>
          <w:sz w:val="24"/>
          <w:highlight w:val="none"/>
          <w:lang w:bidi="ar"/>
        </w:rPr>
        <w:t>分</w:t>
      </w:r>
      <w:r>
        <w:rPr>
          <w:bCs/>
          <w:sz w:val="24"/>
          <w:highlight w:val="none"/>
          <w:lang w:bidi="ar"/>
        </w:rPr>
        <w:t>（北京时间）</w:t>
      </w:r>
      <w:r>
        <w:rPr>
          <w:iCs/>
          <w:sz w:val="24"/>
          <w:lang w:bidi="ar"/>
        </w:rPr>
        <w:t>。</w:t>
      </w:r>
    </w:p>
    <w:p w14:paraId="607304C9">
      <w:pPr>
        <w:pageBreakBefore w:val="0"/>
        <w:spacing w:line="360" w:lineRule="auto"/>
        <w:ind w:left="0" w:firstLine="480"/>
        <w:rPr>
          <w:sz w:val="24"/>
          <w:lang w:val="zh-TW" w:bidi="ar"/>
        </w:rPr>
      </w:pPr>
      <w:r>
        <w:rPr>
          <w:sz w:val="24"/>
          <w:lang w:bidi="ar"/>
        </w:rPr>
        <w:t>地点：</w:t>
      </w:r>
      <w:r>
        <w:rPr>
          <w:rFonts w:hint="eastAsia"/>
          <w:sz w:val="24"/>
          <w:lang w:bidi="ar"/>
        </w:rPr>
        <w:t>供应商持CA数字认证证书登录</w:t>
      </w:r>
      <w:r>
        <w:rPr>
          <w:rFonts w:hint="eastAsia"/>
          <w:sz w:val="24"/>
          <w:lang w:eastAsia="zh-CN" w:bidi="ar"/>
        </w:rPr>
        <w:t>“</w:t>
      </w:r>
      <w:r>
        <w:rPr>
          <w:rFonts w:hint="eastAsia"/>
          <w:sz w:val="24"/>
          <w:lang w:bidi="ar"/>
        </w:rPr>
        <w:t>苏采云</w:t>
      </w:r>
      <w:r>
        <w:rPr>
          <w:rFonts w:hint="eastAsia"/>
          <w:sz w:val="24"/>
          <w:lang w:eastAsia="zh-CN" w:bidi="ar"/>
        </w:rPr>
        <w:t>”</w:t>
      </w:r>
      <w:r>
        <w:rPr>
          <w:rFonts w:hint="eastAsia"/>
          <w:sz w:val="24"/>
          <w:lang w:bidi="ar"/>
        </w:rPr>
        <w:t>政府采购一体化平台（http://jszfcg.jsczt.cn/jszc/login）获取电子版磋商文件。</w:t>
      </w:r>
    </w:p>
    <w:p w14:paraId="4D63BD37">
      <w:pPr>
        <w:pStyle w:val="184"/>
        <w:pageBreakBefore w:val="0"/>
        <w:spacing w:before="0" w:line="360" w:lineRule="auto"/>
        <w:ind w:left="0" w:firstLine="482"/>
        <w:jc w:val="left"/>
        <w:rPr>
          <w:rFonts w:ascii="Times New Roman" w:hAnsi="Times New Roman" w:eastAsia="宋体"/>
          <w:sz w:val="24"/>
          <w:szCs w:val="24"/>
        </w:rPr>
      </w:pPr>
      <w:r>
        <w:rPr>
          <w:rFonts w:ascii="Times New Roman" w:hAnsi="Times New Roman" w:eastAsia="宋体"/>
          <w:sz w:val="24"/>
          <w:szCs w:val="24"/>
        </w:rPr>
        <w:t>五、开启</w:t>
      </w:r>
    </w:p>
    <w:p w14:paraId="3D964404">
      <w:pPr>
        <w:pageBreakBefore w:val="0"/>
        <w:spacing w:line="360" w:lineRule="auto"/>
        <w:ind w:left="0" w:firstLine="480"/>
        <w:rPr>
          <w:bCs/>
          <w:sz w:val="24"/>
          <w:u w:val="single"/>
        </w:rPr>
      </w:pPr>
      <w:r>
        <w:rPr>
          <w:sz w:val="24"/>
          <w:lang w:bidi="ar"/>
        </w:rPr>
        <w:t>时间：</w:t>
      </w:r>
      <w:r>
        <w:rPr>
          <w:rFonts w:hint="eastAsia" w:cs="Times New Roman"/>
          <w:sz w:val="24"/>
          <w:highlight w:val="none"/>
          <w:lang w:eastAsia="zh-CN" w:bidi="ar"/>
        </w:rPr>
        <w:t>202</w:t>
      </w:r>
      <w:r>
        <w:rPr>
          <w:rFonts w:hint="eastAsia" w:cs="Times New Roman"/>
          <w:sz w:val="24"/>
          <w:highlight w:val="none"/>
          <w:lang w:val="en-US" w:eastAsia="zh-CN" w:bidi="ar"/>
        </w:rPr>
        <w:t>6</w:t>
      </w:r>
      <w:r>
        <w:rPr>
          <w:rFonts w:hint="eastAsia" w:cs="Times New Roman"/>
          <w:sz w:val="24"/>
          <w:highlight w:val="none"/>
          <w:lang w:eastAsia="zh-CN" w:bidi="ar"/>
        </w:rPr>
        <w:t>年</w:t>
      </w:r>
      <w:r>
        <w:rPr>
          <w:rFonts w:hint="eastAsia" w:cs="Times New Roman"/>
          <w:sz w:val="24"/>
          <w:highlight w:val="none"/>
          <w:lang w:val="en-US" w:eastAsia="zh-CN" w:bidi="ar"/>
        </w:rPr>
        <w:t>1</w:t>
      </w:r>
      <w:r>
        <w:rPr>
          <w:rFonts w:hint="eastAsia" w:ascii="Times New Roman" w:hAnsi="Times New Roman" w:eastAsia="宋体" w:cs="Times New Roman"/>
          <w:sz w:val="24"/>
          <w:highlight w:val="none"/>
          <w:lang w:bidi="ar"/>
        </w:rPr>
        <w:t>月</w:t>
      </w:r>
      <w:r>
        <w:rPr>
          <w:rFonts w:hint="eastAsia" w:cs="Times New Roman"/>
          <w:sz w:val="24"/>
          <w:highlight w:val="none"/>
          <w:lang w:val="en-US" w:eastAsia="zh-CN" w:bidi="ar"/>
        </w:rPr>
        <w:t>6</w:t>
      </w:r>
      <w:r>
        <w:rPr>
          <w:rFonts w:hint="eastAsia" w:ascii="Times New Roman" w:hAnsi="Times New Roman" w:eastAsia="宋体" w:cs="Times New Roman"/>
          <w:sz w:val="24"/>
          <w:highlight w:val="none"/>
          <w:lang w:bidi="ar"/>
        </w:rPr>
        <w:t>日</w:t>
      </w:r>
      <w:r>
        <w:rPr>
          <w:rFonts w:hint="eastAsia" w:ascii="Times New Roman" w:hAnsi="Times New Roman" w:eastAsia="宋体" w:cs="Times New Roman"/>
          <w:sz w:val="24"/>
          <w:highlight w:val="none"/>
          <w:lang w:eastAsia="zh-CN" w:bidi="ar"/>
        </w:rPr>
        <w:t>下午</w:t>
      </w:r>
      <w:r>
        <w:rPr>
          <w:rFonts w:hint="eastAsia" w:ascii="Times New Roman" w:hAnsi="Times New Roman" w:eastAsia="宋体" w:cs="Times New Roman"/>
          <w:sz w:val="24"/>
          <w:highlight w:val="none"/>
          <w:lang w:val="en-US" w:eastAsia="zh-CN" w:bidi="ar"/>
        </w:rPr>
        <w:t>14:00</w:t>
      </w:r>
      <w:r>
        <w:rPr>
          <w:rFonts w:hint="eastAsia" w:ascii="Times New Roman" w:hAnsi="Times New Roman" w:eastAsia="宋体" w:cs="Times New Roman"/>
          <w:sz w:val="24"/>
          <w:highlight w:val="none"/>
          <w:lang w:bidi="ar"/>
        </w:rPr>
        <w:t>分</w:t>
      </w:r>
      <w:r>
        <w:rPr>
          <w:bCs/>
          <w:sz w:val="24"/>
          <w:lang w:bidi="ar"/>
        </w:rPr>
        <w:t>（北京时间）</w:t>
      </w:r>
      <w:r>
        <w:rPr>
          <w:iCs/>
          <w:sz w:val="24"/>
          <w:lang w:bidi="ar"/>
        </w:rPr>
        <w:t>。</w:t>
      </w:r>
    </w:p>
    <w:p w14:paraId="4B8AF3BD">
      <w:pPr>
        <w:pageBreakBefore w:val="0"/>
        <w:spacing w:line="360" w:lineRule="auto"/>
        <w:ind w:left="0" w:firstLine="480"/>
        <w:rPr>
          <w:bCs/>
          <w:sz w:val="24"/>
          <w:u w:val="single"/>
        </w:rPr>
      </w:pPr>
      <w:r>
        <w:rPr>
          <w:sz w:val="24"/>
          <w:lang w:bidi="ar"/>
        </w:rPr>
        <w:t>地点：</w:t>
      </w:r>
      <w:r>
        <w:rPr>
          <w:rFonts w:hint="eastAsia"/>
          <w:sz w:val="24"/>
          <w:lang w:bidi="ar"/>
        </w:rPr>
        <w:t>本项目采用不见面交易方式，无需到现场提交，供应商登录</w:t>
      </w:r>
      <w:r>
        <w:rPr>
          <w:rFonts w:hint="eastAsia"/>
          <w:sz w:val="24"/>
          <w:lang w:eastAsia="zh-CN" w:bidi="ar"/>
        </w:rPr>
        <w:t>“</w:t>
      </w:r>
      <w:r>
        <w:rPr>
          <w:rFonts w:hint="eastAsia"/>
          <w:sz w:val="24"/>
          <w:lang w:bidi="ar"/>
        </w:rPr>
        <w:t>苏采云</w:t>
      </w:r>
      <w:r>
        <w:rPr>
          <w:rFonts w:hint="eastAsia"/>
          <w:sz w:val="24"/>
          <w:lang w:eastAsia="zh-CN" w:bidi="ar"/>
        </w:rPr>
        <w:t>”</w:t>
      </w:r>
      <w:r>
        <w:rPr>
          <w:rFonts w:hint="eastAsia"/>
          <w:sz w:val="24"/>
          <w:lang w:bidi="ar"/>
        </w:rPr>
        <w:t>政府采购一体化平台供应商端，通过系统在线提交电子响应文件。</w:t>
      </w:r>
    </w:p>
    <w:p w14:paraId="6451D0FF">
      <w:pPr>
        <w:pStyle w:val="184"/>
        <w:pageBreakBefore w:val="0"/>
        <w:spacing w:before="0" w:line="360" w:lineRule="auto"/>
        <w:ind w:left="0" w:firstLine="482"/>
        <w:jc w:val="left"/>
        <w:rPr>
          <w:rFonts w:ascii="Times New Roman" w:hAnsi="Times New Roman" w:eastAsia="宋体"/>
          <w:sz w:val="24"/>
          <w:szCs w:val="24"/>
        </w:rPr>
      </w:pPr>
      <w:bookmarkStart w:id="20" w:name="_Toc35393625"/>
      <w:bookmarkStart w:id="21" w:name="_Toc35393794"/>
      <w:bookmarkStart w:id="22" w:name="_Toc28359007"/>
      <w:bookmarkStart w:id="23" w:name="_Toc28359084"/>
      <w:r>
        <w:rPr>
          <w:rFonts w:ascii="Times New Roman" w:hAnsi="Times New Roman" w:eastAsia="宋体"/>
          <w:sz w:val="24"/>
          <w:szCs w:val="24"/>
        </w:rPr>
        <w:t>六、公告期限</w:t>
      </w:r>
      <w:bookmarkEnd w:id="20"/>
      <w:bookmarkEnd w:id="21"/>
      <w:bookmarkEnd w:id="22"/>
      <w:bookmarkEnd w:id="23"/>
    </w:p>
    <w:p w14:paraId="3BF64F52">
      <w:pPr>
        <w:pageBreakBefore w:val="0"/>
        <w:spacing w:line="360" w:lineRule="auto"/>
        <w:ind w:left="0" w:firstLine="480"/>
        <w:rPr>
          <w:sz w:val="24"/>
        </w:rPr>
      </w:pPr>
      <w:r>
        <w:rPr>
          <w:sz w:val="24"/>
        </w:rPr>
        <w:t>自本公告发布之日起</w:t>
      </w:r>
      <w:r>
        <w:rPr>
          <w:rFonts w:hint="eastAsia"/>
          <w:sz w:val="24"/>
          <w:lang w:val="en-US" w:eastAsia="zh-CN"/>
        </w:rPr>
        <w:t>5</w:t>
      </w:r>
      <w:r>
        <w:rPr>
          <w:sz w:val="24"/>
        </w:rPr>
        <w:t>个工作日。</w:t>
      </w:r>
    </w:p>
    <w:p w14:paraId="29647330">
      <w:pPr>
        <w:pStyle w:val="184"/>
        <w:pageBreakBefore w:val="0"/>
        <w:numPr>
          <w:ilvl w:val="0"/>
          <w:numId w:val="8"/>
        </w:numPr>
        <w:spacing w:before="0" w:line="360" w:lineRule="auto"/>
        <w:ind w:left="0" w:firstLine="482"/>
        <w:jc w:val="left"/>
        <w:rPr>
          <w:rFonts w:ascii="Times New Roman" w:hAnsi="Times New Roman" w:eastAsia="宋体"/>
          <w:sz w:val="24"/>
          <w:szCs w:val="24"/>
        </w:rPr>
      </w:pPr>
      <w:bookmarkStart w:id="24" w:name="_Toc35393795"/>
      <w:bookmarkStart w:id="25" w:name="_Toc35393626"/>
      <w:r>
        <w:rPr>
          <w:rFonts w:ascii="Times New Roman" w:hAnsi="Times New Roman" w:eastAsia="宋体"/>
          <w:sz w:val="24"/>
          <w:szCs w:val="24"/>
        </w:rPr>
        <w:t>其他补充事宜</w:t>
      </w:r>
      <w:bookmarkEnd w:id="24"/>
      <w:bookmarkEnd w:id="25"/>
    </w:p>
    <w:p w14:paraId="3DA0952F">
      <w:pPr>
        <w:pageBreakBefore w:val="0"/>
        <w:spacing w:line="360" w:lineRule="auto"/>
        <w:ind w:left="0" w:firstLine="480"/>
        <w:rPr>
          <w:rFonts w:ascii="Times New Roman" w:hAnsi="Times New Roman" w:eastAsia="宋体" w:cs="Times New Roman"/>
          <w:sz w:val="24"/>
          <w:lang w:bidi="ar"/>
        </w:rPr>
      </w:pPr>
      <w:bookmarkStart w:id="26" w:name="_Toc28359008"/>
      <w:bookmarkStart w:id="27" w:name="_Toc28359085"/>
      <w:bookmarkStart w:id="28" w:name="_Toc35393627"/>
      <w:bookmarkStart w:id="29" w:name="_Toc35393796"/>
      <w:r>
        <w:rPr>
          <w:rFonts w:ascii="Times New Roman" w:hAnsi="Times New Roman" w:eastAsia="宋体" w:cs="Times New Roman"/>
          <w:sz w:val="24"/>
          <w:lang w:bidi="ar"/>
        </w:rPr>
        <w:t>1.本项目需要落实的政府采购政策：</w:t>
      </w:r>
      <w:r>
        <w:rPr>
          <w:rFonts w:hint="eastAsia" w:ascii="Times New Roman" w:hAnsi="Times New Roman" w:eastAsia="宋体" w:cs="Times New Roman"/>
          <w:sz w:val="24"/>
          <w:lang w:bidi="ar"/>
        </w:rPr>
        <w:t>本项目专门面向中小企业采购，即承担的工程全部由符合政策的中小企业承接。监狱企业和残疾人福利性单位视同小微企业</w:t>
      </w:r>
      <w:r>
        <w:rPr>
          <w:rFonts w:ascii="Times New Roman" w:hAnsi="Times New Roman" w:eastAsia="宋体" w:cs="Times New Roman"/>
          <w:sz w:val="24"/>
          <w:lang w:bidi="ar"/>
        </w:rPr>
        <w:t>。</w:t>
      </w:r>
    </w:p>
    <w:p w14:paraId="707623AE">
      <w:pPr>
        <w:pageBreakBefore w:val="0"/>
        <w:spacing w:line="360" w:lineRule="auto"/>
        <w:ind w:left="0" w:firstLine="480"/>
        <w:rPr>
          <w:rFonts w:hint="eastAsia" w:ascii="Times New Roman" w:hAnsi="Times New Roman" w:eastAsia="宋体" w:cs="Times New Roman"/>
          <w:sz w:val="24"/>
          <w:lang w:bidi="ar"/>
        </w:rPr>
      </w:pPr>
      <w:r>
        <w:rPr>
          <w:rFonts w:ascii="Times New Roman" w:hAnsi="Times New Roman" w:eastAsia="宋体" w:cs="Times New Roman"/>
          <w:sz w:val="24"/>
          <w:lang w:bidi="ar"/>
        </w:rPr>
        <w:t>2.</w:t>
      </w:r>
      <w:r>
        <w:rPr>
          <w:rFonts w:hint="eastAsia" w:ascii="Times New Roman" w:hAnsi="Times New Roman" w:eastAsia="宋体" w:cs="Times New Roman"/>
          <w:sz w:val="24"/>
          <w:lang w:bidi="ar"/>
        </w:rPr>
        <w:t>本项目采用不见面交易方式，请供应商认真学习</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的相关操作手册，办理CA认证证书、进行</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平台注册绑定，并认真核实数字认证证书情况确认是否符合本项目电子化采购流程要求。</w:t>
      </w:r>
    </w:p>
    <w:p w14:paraId="4F4E92B1">
      <w:pPr>
        <w:pageBreakBefore w:val="0"/>
        <w:spacing w:line="360" w:lineRule="auto"/>
        <w:ind w:left="0" w:firstLine="480"/>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技术保障服务：</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系统使用期间，由系统开发商江苏富深协通科技股份有限公司提供技术保障服务，指导软件操作，维护系统稳定运行。</w:t>
      </w:r>
    </w:p>
    <w:p w14:paraId="23F92816">
      <w:pPr>
        <w:pageBreakBefore w:val="0"/>
        <w:spacing w:line="360" w:lineRule="auto"/>
        <w:ind w:left="0" w:firstLine="480"/>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运维保障联系方式：0519-85588210</w:t>
      </w:r>
    </w:p>
    <w:p w14:paraId="73DD7E03">
      <w:pPr>
        <w:pageBreakBefore w:val="0"/>
        <w:spacing w:line="360" w:lineRule="auto"/>
        <w:ind w:left="0" w:firstLine="480"/>
        <w:jc w:val="left"/>
        <w:rPr>
          <w:rFonts w:hint="eastAsia" w:ascii="Times New Roman" w:hAnsi="Times New Roman" w:eastAsia="宋体" w:cs="Times New Roman"/>
          <w:sz w:val="24"/>
          <w:lang w:bidi="ar"/>
        </w:rPr>
      </w:pPr>
      <w:r>
        <w:rPr>
          <w:rFonts w:hint="eastAsia" w:ascii="Times New Roman" w:hAnsi="Times New Roman" w:eastAsia="宋体" w:cs="Times New Roman"/>
          <w:sz w:val="24"/>
          <w:lang w:bidi="ar"/>
        </w:rPr>
        <w:t>CA认证证书办理（可邮寄）联系电话：0519-85588120</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2.1办理CA认证证书</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供应商登录政府采购一体化平台</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新CA办理指南</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，按照程序要求办理。</w:t>
      </w:r>
    </w:p>
    <w:p w14:paraId="612BE909">
      <w:pPr>
        <w:pageBreakBefore w:val="0"/>
        <w:spacing w:line="360" w:lineRule="auto"/>
        <w:ind w:left="0" w:firstLine="480"/>
        <w:jc w:val="left"/>
        <w:rPr>
          <w:rFonts w:ascii="Times New Roman" w:hAnsi="Times New Roman" w:eastAsia="宋体" w:cs="Times New Roman"/>
          <w:sz w:val="24"/>
          <w:lang w:bidi="ar"/>
        </w:rPr>
      </w:pPr>
      <w:r>
        <w:rPr>
          <w:rFonts w:ascii="Times New Roman" w:hAnsi="Times New Roman" w:eastAsia="宋体" w:cs="Times New Roman"/>
          <w:sz w:val="24"/>
          <w:lang w:bidi="ar"/>
        </w:rPr>
        <w:t>2.2注册</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供应商登录常州市政府采购网</w:t>
      </w:r>
      <w:r>
        <w:rPr>
          <w:rFonts w:hint="eastAsia" w:ascii="Times New Roman" w:hAnsi="Times New Roman" w:eastAsia="宋体" w:cs="Times New Roman"/>
          <w:sz w:val="24"/>
          <w:lang w:eastAsia="zh-CN" w:bidi="ar"/>
        </w:rPr>
        <w:t>“</w:t>
      </w:r>
      <w:r>
        <w:rPr>
          <w:rFonts w:ascii="Times New Roman" w:hAnsi="Times New Roman" w:eastAsia="宋体" w:cs="Times New Roman"/>
          <w:sz w:val="24"/>
          <w:lang w:bidi="ar"/>
        </w:rPr>
        <w:t>下载中心</w:t>
      </w:r>
      <w:r>
        <w:rPr>
          <w:rFonts w:hint="eastAsia" w:ascii="Times New Roman" w:hAnsi="Times New Roman" w:eastAsia="宋体" w:cs="Times New Roman"/>
          <w:sz w:val="24"/>
          <w:lang w:eastAsia="zh-CN" w:bidi="ar"/>
        </w:rPr>
        <w:t>”</w:t>
      </w:r>
      <w:r>
        <w:rPr>
          <w:rFonts w:ascii="Times New Roman" w:hAnsi="Times New Roman" w:eastAsia="宋体" w:cs="Times New Roman"/>
          <w:sz w:val="24"/>
          <w:lang w:bidi="ar"/>
        </w:rPr>
        <w:t>-</w:t>
      </w:r>
      <w:r>
        <w:rPr>
          <w:rFonts w:hint="eastAsia" w:ascii="Times New Roman" w:hAnsi="Times New Roman" w:eastAsia="宋体" w:cs="Times New Roman"/>
          <w:sz w:val="24"/>
          <w:lang w:eastAsia="zh-CN" w:bidi="ar"/>
        </w:rPr>
        <w:t>““</w:t>
      </w:r>
      <w:r>
        <w:rPr>
          <w:rFonts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ascii="Times New Roman" w:hAnsi="Times New Roman" w:eastAsia="宋体" w:cs="Times New Roman"/>
          <w:sz w:val="24"/>
          <w:lang w:bidi="ar"/>
        </w:rPr>
        <w:t>系统供应商操作手册</w:t>
      </w:r>
      <w:r>
        <w:rPr>
          <w:rFonts w:hint="eastAsia" w:ascii="Times New Roman" w:hAnsi="Times New Roman" w:eastAsia="宋体" w:cs="Times New Roman"/>
          <w:sz w:val="24"/>
          <w:lang w:eastAsia="zh-CN" w:bidi="ar"/>
        </w:rPr>
        <w:t>”</w:t>
      </w:r>
      <w:r>
        <w:rPr>
          <w:rFonts w:ascii="Times New Roman" w:hAnsi="Times New Roman" w:eastAsia="宋体" w:cs="Times New Roman"/>
          <w:sz w:val="24"/>
          <w:lang w:bidi="ar"/>
        </w:rPr>
        <w:t>下载相关操作手册、操作视频等，查阅后进行自助注册。</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2.3控件、客户端下载</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供应商登陆政府采购一体化平台</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下载</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驱动下载</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，安装驱动</w:t>
      </w:r>
      <w:r>
        <w:rPr>
          <w:rFonts w:ascii="Times New Roman" w:hAnsi="Times New Roman" w:eastAsia="宋体" w:cs="Times New Roman"/>
          <w:sz w:val="24"/>
          <w:lang w:bidi="ar"/>
        </w:rPr>
        <w:t>。</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2.4 获取电子磋商文件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供应商持CA数字认证证书登录</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政府采购一体化平台获取电子磋商文件。未在规定期限内通过</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政府采购一体化平台获取磋商文件的响应无效。</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2.5编制电子响应文件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供应商应按照</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系统（供应商）操作手册制作响应文件并进行线上响应，供应商电子响应文件需要加密并加盖电子签章，如无法按照要求在电子响应文件中加盖电子签章和加密，请及时通过技术支持服务热线联系技术人员。</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2.6提交电子响应文件</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供应商应于响应截止时间前在</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政府采购一体化平台提交电子响应文件，上传电子响应文件过程中请保持与互联网的连接畅通</w:t>
      </w:r>
      <w:r>
        <w:rPr>
          <w:rFonts w:ascii="Times New Roman" w:hAnsi="Times New Roman" w:eastAsia="宋体" w:cs="Times New Roman"/>
          <w:sz w:val="24"/>
          <w:lang w:bidi="ar"/>
        </w:rPr>
        <w:t>。</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2.7电子开标</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供应商使用CA认证证书登录</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苏采云</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 xml:space="preserve">政府采购一体化平台进行电子化不见面开标。 </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w:t>
      </w:r>
      <w:r>
        <w:rPr>
          <w:rFonts w:ascii="Times New Roman" w:hAnsi="Times New Roman" w:eastAsia="宋体" w:cs="Times New Roman"/>
          <w:sz w:val="24"/>
          <w:lang w:bidi="ar"/>
        </w:rPr>
        <w:t>2.8注意事项</w:t>
      </w:r>
      <w:r>
        <w:rPr>
          <w:rFonts w:ascii="Times New Roman" w:hAnsi="Times New Roman" w:eastAsia="宋体" w:cs="Times New Roman"/>
          <w:sz w:val="24"/>
          <w:lang w:bidi="ar"/>
        </w:rPr>
        <w:br w:type="textWrapping" w:clear="all"/>
      </w:r>
      <w:r>
        <w:rPr>
          <w:rFonts w:hint="eastAsia" w:ascii="Times New Roman" w:hAnsi="Times New Roman" w:eastAsia="宋体" w:cs="Times New Roman"/>
          <w:sz w:val="24"/>
          <w:lang w:bidi="ar"/>
        </w:rPr>
        <w:t xml:space="preserve">    供应商在开标前应当使用</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验证CA</w:t>
      </w:r>
      <w:r>
        <w:rPr>
          <w:rFonts w:hint="eastAsia" w:ascii="Times New Roman" w:hAnsi="Times New Roman" w:eastAsia="宋体" w:cs="Times New Roman"/>
          <w:sz w:val="24"/>
          <w:lang w:eastAsia="zh-CN" w:bidi="ar"/>
        </w:rPr>
        <w:t>”</w:t>
      </w:r>
      <w:r>
        <w:rPr>
          <w:rFonts w:hint="eastAsia" w:ascii="Times New Roman" w:hAnsi="Times New Roman" w:eastAsia="宋体" w:cs="Times New Roman"/>
          <w:sz w:val="24"/>
          <w:lang w:bidi="ar"/>
        </w:rPr>
        <w:t>功能验证本地计算机的控件环境是否正常，并且在开标、评审过程中不可随意更换计算机，必须使用验证成功的计算机进行操作，否则造成相应后果由供应商自行承担。</w:t>
      </w:r>
    </w:p>
    <w:p w14:paraId="30775DC5">
      <w:pPr>
        <w:pageBreakBefore w:val="0"/>
        <w:spacing w:line="360" w:lineRule="auto"/>
        <w:ind w:left="0" w:firstLine="480"/>
        <w:rPr>
          <w:rFonts w:ascii="Times New Roman" w:hAnsi="Times New Roman" w:eastAsia="宋体" w:cs="Times New Roman"/>
          <w:sz w:val="24"/>
          <w:lang w:bidi="ar"/>
        </w:rPr>
      </w:pPr>
      <w:r>
        <w:rPr>
          <w:rFonts w:ascii="Times New Roman" w:hAnsi="Times New Roman" w:eastAsia="宋体" w:cs="Times New Roman"/>
          <w:sz w:val="24"/>
          <w:lang w:bidi="ar"/>
        </w:rPr>
        <w:t>3.关于常州市中小企业政府采购信用融资：</w:t>
      </w:r>
    </w:p>
    <w:p w14:paraId="20D7E3DC">
      <w:pPr>
        <w:pageBreakBefore w:val="0"/>
        <w:spacing w:line="360" w:lineRule="auto"/>
        <w:ind w:left="0" w:firstLine="480"/>
        <w:rPr>
          <w:rFonts w:ascii="Times New Roman" w:hAnsi="Times New Roman" w:eastAsia="宋体" w:cs="Times New Roman"/>
          <w:sz w:val="24"/>
          <w:lang w:bidi="ar"/>
        </w:rPr>
      </w:pPr>
      <w:r>
        <w:rPr>
          <w:rFonts w:ascii="Times New Roman" w:hAnsi="Times New Roman" w:eastAsia="宋体" w:cs="Times New Roman"/>
          <w:sz w:val="24"/>
          <w:lang w:bidi="ar"/>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供应商提供相应额度贷款的融资模式。申请条件及操作流程等事项详见该文件相关内容或者常州市政府采购网--政采融资平台栏目。</w:t>
      </w:r>
    </w:p>
    <w:p w14:paraId="31F4127B">
      <w:pPr>
        <w:pStyle w:val="184"/>
        <w:pageBreakBefore w:val="0"/>
        <w:spacing w:before="0" w:line="360" w:lineRule="auto"/>
        <w:ind w:left="0" w:firstLine="482"/>
        <w:jc w:val="left"/>
        <w:rPr>
          <w:rFonts w:ascii="Times New Roman" w:hAnsi="Times New Roman" w:eastAsia="宋体" w:cs="Times New Roman"/>
          <w:b/>
          <w:sz w:val="24"/>
          <w:szCs w:val="24"/>
        </w:rPr>
      </w:pPr>
      <w:r>
        <w:rPr>
          <w:rFonts w:ascii="Times New Roman" w:hAnsi="Times New Roman" w:eastAsia="宋体" w:cs="Times New Roman"/>
          <w:b/>
          <w:sz w:val="24"/>
          <w:szCs w:val="24"/>
        </w:rPr>
        <w:t>八、对本项目提出询问，请按以下方式联系。</w:t>
      </w:r>
      <w:bookmarkEnd w:id="26"/>
      <w:bookmarkEnd w:id="27"/>
      <w:bookmarkEnd w:id="28"/>
      <w:bookmarkEnd w:id="29"/>
    </w:p>
    <w:p w14:paraId="6EDA7F52">
      <w:pPr>
        <w:keepNext w:val="0"/>
        <w:keepLines w:val="0"/>
        <w:pageBreakBefore w:val="0"/>
        <w:widowControl/>
        <w:spacing w:line="360" w:lineRule="auto"/>
        <w:ind w:left="0" w:firstLine="482"/>
        <w:jc w:val="both"/>
        <w:rPr>
          <w:b/>
          <w:sz w:val="24"/>
        </w:rPr>
      </w:pPr>
      <w:r>
        <w:rPr>
          <w:b/>
          <w:sz w:val="24"/>
        </w:rPr>
        <w:t>1.采购人信息</w:t>
      </w:r>
    </w:p>
    <w:p w14:paraId="1AFF8AE4">
      <w:pPr>
        <w:keepNext w:val="0"/>
        <w:keepLines w:val="0"/>
        <w:pageBreakBefore w:val="0"/>
        <w:spacing w:line="360" w:lineRule="auto"/>
        <w:ind w:left="0" w:firstLine="480"/>
        <w:jc w:val="both"/>
        <w:rPr>
          <w:rFonts w:hint="eastAsia" w:ascii="Times New Roman" w:hAnsi="Times New Roman" w:eastAsia="宋体" w:cs="Times New Roman"/>
          <w:sz w:val="24"/>
          <w:lang w:bidi="ar"/>
        </w:rPr>
      </w:pPr>
      <w:bookmarkStart w:id="30" w:name="_Toc28359009"/>
      <w:bookmarkStart w:id="31" w:name="_Toc28359086"/>
      <w:r>
        <w:rPr>
          <w:rFonts w:hint="eastAsia" w:ascii="Times New Roman" w:hAnsi="Times New Roman" w:eastAsia="宋体" w:cs="Times New Roman"/>
          <w:sz w:val="24"/>
          <w:lang w:bidi="ar"/>
        </w:rPr>
        <w:t>名    称：</w:t>
      </w:r>
      <w:r>
        <w:rPr>
          <w:rFonts w:hint="eastAsia" w:ascii="Times New Roman" w:hAnsi="Times New Roman" w:eastAsia="宋体" w:cs="Times New Roman"/>
          <w:sz w:val="24"/>
          <w:lang w:eastAsia="zh-CN" w:bidi="ar"/>
        </w:rPr>
        <w:t>溧阳市埭头镇人民政府</w:t>
      </w:r>
    </w:p>
    <w:p w14:paraId="6AB92C90">
      <w:pPr>
        <w:keepNext w:val="0"/>
        <w:keepLines w:val="0"/>
        <w:pageBreakBefore w:val="0"/>
        <w:spacing w:line="360" w:lineRule="auto"/>
        <w:ind w:left="0" w:firstLine="480"/>
        <w:jc w:val="both"/>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地    址：</w:t>
      </w:r>
      <w:r>
        <w:rPr>
          <w:rFonts w:hint="eastAsia" w:ascii="Times New Roman" w:hAnsi="Times New Roman" w:eastAsia="宋体" w:cs="Times New Roman"/>
          <w:sz w:val="24"/>
          <w:lang w:eastAsia="zh-CN" w:bidi="ar"/>
        </w:rPr>
        <w:t>溧阳市埭头镇集镇人民路1号</w:t>
      </w:r>
    </w:p>
    <w:p w14:paraId="3A63FC40">
      <w:pPr>
        <w:keepNext w:val="0"/>
        <w:keepLines w:val="0"/>
        <w:pageBreakBefore w:val="0"/>
        <w:spacing w:line="360" w:lineRule="auto"/>
        <w:ind w:left="0" w:firstLine="480"/>
        <w:jc w:val="both"/>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eastAsia="zh-CN" w:bidi="ar"/>
        </w:rPr>
        <w:t>联系方式：</w:t>
      </w:r>
      <w:r>
        <w:rPr>
          <w:rFonts w:hint="eastAsia" w:ascii="Times New Roman" w:hAnsi="Times New Roman" w:eastAsia="宋体" w:cs="Times New Roman"/>
          <w:sz w:val="24"/>
          <w:highlight w:val="none"/>
          <w:lang w:eastAsia="zh-CN" w:bidi="ar"/>
        </w:rPr>
        <w:t>15301500121</w:t>
      </w:r>
    </w:p>
    <w:p w14:paraId="0F7B2A21">
      <w:pPr>
        <w:keepNext w:val="0"/>
        <w:keepLines w:val="0"/>
        <w:pageBreakBefore w:val="0"/>
        <w:spacing w:line="360" w:lineRule="auto"/>
        <w:ind w:left="0" w:firstLine="482"/>
        <w:jc w:val="both"/>
        <w:rPr>
          <w:b/>
          <w:sz w:val="24"/>
        </w:rPr>
      </w:pPr>
      <w:r>
        <w:rPr>
          <w:b/>
          <w:sz w:val="24"/>
        </w:rPr>
        <w:t>2.采购代理机构信息</w:t>
      </w:r>
      <w:bookmarkEnd w:id="30"/>
      <w:bookmarkEnd w:id="31"/>
    </w:p>
    <w:p w14:paraId="415DD310">
      <w:pPr>
        <w:keepNext w:val="0"/>
        <w:keepLines w:val="0"/>
        <w:pageBreakBefore w:val="0"/>
        <w:spacing w:line="360" w:lineRule="auto"/>
        <w:ind w:left="0" w:firstLine="480"/>
        <w:jc w:val="both"/>
        <w:rPr>
          <w:rFonts w:hint="eastAsia" w:ascii="Times New Roman" w:hAnsi="Times New Roman" w:eastAsia="宋体" w:cs="Times New Roman"/>
          <w:sz w:val="24"/>
          <w:lang w:eastAsia="zh-CN" w:bidi="ar"/>
        </w:rPr>
      </w:pPr>
      <w:bookmarkStart w:id="32" w:name="_Toc28359010"/>
      <w:bookmarkStart w:id="33" w:name="_Toc28359087"/>
      <w:r>
        <w:rPr>
          <w:rFonts w:hint="eastAsia" w:ascii="Times New Roman" w:hAnsi="Times New Roman" w:eastAsia="宋体" w:cs="Times New Roman"/>
          <w:sz w:val="24"/>
          <w:lang w:bidi="ar"/>
        </w:rPr>
        <w:t>名    称：</w:t>
      </w:r>
      <w:r>
        <w:rPr>
          <w:rFonts w:hint="eastAsia" w:ascii="Times New Roman" w:hAnsi="Times New Roman" w:eastAsia="宋体" w:cs="Times New Roman"/>
          <w:sz w:val="24"/>
          <w:lang w:eastAsia="zh-CN" w:bidi="ar"/>
        </w:rPr>
        <w:t>溧阳普弘信工程项目管理有限公司</w:t>
      </w:r>
    </w:p>
    <w:p w14:paraId="175D8EC1">
      <w:pPr>
        <w:keepNext w:val="0"/>
        <w:keepLines w:val="0"/>
        <w:pageBreakBefore w:val="0"/>
        <w:spacing w:line="360" w:lineRule="auto"/>
        <w:ind w:left="0" w:firstLine="480"/>
        <w:jc w:val="both"/>
        <w:rPr>
          <w:rFonts w:hint="eastAsia" w:ascii="Times New Roman" w:hAnsi="Times New Roman" w:eastAsia="宋体" w:cs="Times New Roman"/>
          <w:sz w:val="24"/>
          <w:lang w:val="zh-CN" w:bidi="ar"/>
        </w:rPr>
      </w:pPr>
      <w:r>
        <w:rPr>
          <w:rFonts w:hint="eastAsia" w:ascii="Times New Roman" w:hAnsi="Times New Roman" w:eastAsia="宋体" w:cs="Times New Roman"/>
          <w:sz w:val="24"/>
          <w:lang w:bidi="ar"/>
        </w:rPr>
        <w:t>地    址：</w:t>
      </w:r>
      <w:r>
        <w:rPr>
          <w:rFonts w:hint="eastAsia" w:ascii="宋体" w:hAnsi="宋体" w:eastAsia="宋体" w:cs="宋体"/>
          <w:sz w:val="24"/>
          <w:lang w:val="zh-CN"/>
        </w:rPr>
        <w:t>溧阳市平陵大厦19楼1920室</w:t>
      </w:r>
    </w:p>
    <w:p w14:paraId="563E5413">
      <w:pPr>
        <w:keepNext w:val="0"/>
        <w:keepLines w:val="0"/>
        <w:pageBreakBefore w:val="0"/>
        <w:spacing w:line="360" w:lineRule="auto"/>
        <w:ind w:left="0" w:firstLine="480"/>
        <w:jc w:val="both"/>
        <w:rPr>
          <w:rFonts w:hint="eastAsia" w:ascii="Times New Roman" w:hAnsi="Times New Roman" w:eastAsia="宋体" w:cs="Times New Roman"/>
          <w:sz w:val="24"/>
          <w:lang w:eastAsia="zh-CN" w:bidi="ar"/>
        </w:rPr>
      </w:pPr>
      <w:r>
        <w:rPr>
          <w:rFonts w:hint="eastAsia" w:ascii="Times New Roman" w:hAnsi="Times New Roman" w:eastAsia="宋体" w:cs="Times New Roman"/>
          <w:sz w:val="24"/>
          <w:lang w:bidi="ar"/>
        </w:rPr>
        <w:t>联系方式：</w:t>
      </w:r>
      <w:r>
        <w:rPr>
          <w:rFonts w:hint="eastAsia" w:ascii="Times New Roman" w:hAnsi="Times New Roman" w:eastAsia="宋体" w:cs="Times New Roman"/>
          <w:sz w:val="24"/>
          <w:lang w:eastAsia="zh-CN" w:bidi="ar"/>
        </w:rPr>
        <w:t>13961105142</w:t>
      </w:r>
    </w:p>
    <w:p w14:paraId="4D1D385D">
      <w:pPr>
        <w:keepNext w:val="0"/>
        <w:keepLines w:val="0"/>
        <w:pageBreakBefore w:val="0"/>
        <w:spacing w:line="360" w:lineRule="auto"/>
        <w:ind w:left="0" w:firstLine="482"/>
        <w:jc w:val="both"/>
        <w:rPr>
          <w:b/>
          <w:sz w:val="24"/>
          <w:u w:val="single"/>
        </w:rPr>
      </w:pPr>
      <w:r>
        <w:rPr>
          <w:b/>
          <w:sz w:val="24"/>
        </w:rPr>
        <w:t>3.项目联系方式</w:t>
      </w:r>
      <w:bookmarkEnd w:id="32"/>
      <w:bookmarkEnd w:id="33"/>
    </w:p>
    <w:p w14:paraId="2D137E19">
      <w:pPr>
        <w:pStyle w:val="221"/>
        <w:keepNext w:val="0"/>
        <w:keepLines w:val="0"/>
        <w:pageBreakBefore w:val="0"/>
        <w:spacing w:line="360" w:lineRule="auto"/>
        <w:ind w:left="0" w:firstLine="480"/>
        <w:jc w:val="both"/>
        <w:rPr>
          <w:rFonts w:hint="eastAsia" w:ascii="Times New Roman" w:hAnsi="Times New Roman" w:eastAsia="宋体" w:cs="宋体"/>
          <w:sz w:val="24"/>
          <w:szCs w:val="21"/>
          <w:lang w:eastAsia="zh-CN"/>
        </w:rPr>
      </w:pPr>
      <w:r>
        <w:rPr>
          <w:rFonts w:ascii="Times New Roman" w:hAnsi="Times New Roman"/>
          <w:sz w:val="24"/>
          <w:szCs w:val="24"/>
        </w:rPr>
        <w:t>项目联系人：</w:t>
      </w:r>
      <w:r>
        <w:rPr>
          <w:rFonts w:hint="eastAsia" w:ascii="Times New Roman" w:hAnsi="Times New Roman" w:eastAsia="宋体" w:cs="宋体"/>
          <w:sz w:val="24"/>
          <w:szCs w:val="21"/>
          <w:lang w:eastAsia="zh-CN"/>
        </w:rPr>
        <w:t>潘女士</w:t>
      </w:r>
    </w:p>
    <w:p w14:paraId="666D3F8C">
      <w:pPr>
        <w:keepNext w:val="0"/>
        <w:keepLines w:val="0"/>
        <w:pageBreakBefore w:val="0"/>
        <w:widowControl/>
        <w:spacing w:line="360" w:lineRule="auto"/>
        <w:ind w:left="0" w:firstLine="480"/>
        <w:jc w:val="both"/>
        <w:rPr>
          <w:rFonts w:hint="eastAsia" w:ascii="Times New Roman" w:hAnsi="Times New Roman" w:eastAsia="宋体" w:cs="宋体"/>
          <w:sz w:val="24"/>
          <w:szCs w:val="21"/>
          <w:lang w:eastAsia="zh-CN"/>
        </w:rPr>
      </w:pPr>
      <w:r>
        <w:rPr>
          <w:rFonts w:ascii="Times New Roman" w:hAnsi="Times New Roman"/>
          <w:sz w:val="24"/>
        </w:rPr>
        <w:t>电      话：</w:t>
      </w:r>
      <w:r>
        <w:rPr>
          <w:rFonts w:hint="eastAsia" w:ascii="Times New Roman" w:hAnsi="Times New Roman" w:eastAsia="宋体" w:cs="宋体"/>
          <w:sz w:val="24"/>
          <w:szCs w:val="21"/>
          <w:lang w:eastAsia="zh-CN"/>
        </w:rPr>
        <w:t>13961105142</w:t>
      </w:r>
    </w:p>
    <w:p w14:paraId="57263049">
      <w:pPr>
        <w:keepNext w:val="0"/>
        <w:keepLines w:val="0"/>
        <w:pageBreakBefore w:val="0"/>
        <w:widowControl/>
        <w:spacing w:line="360" w:lineRule="auto"/>
        <w:ind w:left="0" w:firstLine="480"/>
        <w:jc w:val="both"/>
        <w:rPr>
          <w:rFonts w:hint="eastAsia" w:ascii="Times New Roman" w:hAnsi="Times New Roman" w:eastAsia="宋体" w:cs="宋体"/>
          <w:sz w:val="24"/>
          <w:szCs w:val="21"/>
        </w:rPr>
      </w:pPr>
      <w:r>
        <w:rPr>
          <w:rFonts w:hint="eastAsia" w:ascii="Times New Roman" w:hAnsi="Times New Roman" w:eastAsia="宋体" w:cs="Times New Roman"/>
          <w:sz w:val="24"/>
          <w:highlight w:val="none"/>
          <w:lang w:val="zh-CN" w:bidi="ar"/>
        </w:rPr>
        <w:t>注:上述个人信息由于工作需要经机构或本人同意对外公布。</w:t>
      </w:r>
    </w:p>
    <w:p w14:paraId="3542C626">
      <w:pPr>
        <w:spacing w:line="360" w:lineRule="auto"/>
        <w:jc w:val="center"/>
        <w:outlineLvl w:val="0"/>
        <w:rPr>
          <w:b/>
          <w:sz w:val="32"/>
          <w:szCs w:val="32"/>
        </w:rPr>
      </w:pPr>
      <w:r>
        <w:rPr>
          <w:sz w:val="24"/>
        </w:rPr>
        <w:br w:type="page" w:clear="all"/>
      </w:r>
      <w:bookmarkStart w:id="34" w:name="_Toc305158928"/>
      <w:bookmarkStart w:id="35" w:name="_Toc353825548"/>
      <w:bookmarkStart w:id="36" w:name="_Toc104818926"/>
      <w:bookmarkStart w:id="37" w:name="_Toc195842950"/>
      <w:bookmarkStart w:id="38" w:name="_Toc127161488"/>
      <w:bookmarkStart w:id="39" w:name="_Toc265228423"/>
      <w:bookmarkStart w:id="40" w:name="_Toc264969275"/>
      <w:bookmarkStart w:id="41" w:name="_Toc226965856"/>
      <w:bookmarkStart w:id="42" w:name="_Toc305158854"/>
      <w:bookmarkStart w:id="43" w:name="_Toc353873938"/>
      <w:bookmarkStart w:id="44" w:name="_Toc150774783"/>
      <w:bookmarkStart w:id="45" w:name="_Toc127151777"/>
      <w:bookmarkStart w:id="46" w:name="_Toc512937850"/>
      <w:r>
        <w:rPr>
          <w:b/>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15E05C9D">
      <w:pPr>
        <w:pStyle w:val="184"/>
        <w:tabs>
          <w:tab w:val="center" w:pos="4592"/>
          <w:tab w:val="left" w:pos="7860"/>
        </w:tabs>
        <w:spacing w:before="0" w:line="360" w:lineRule="auto"/>
        <w:rPr>
          <w:b w:val="0"/>
          <w:sz w:val="28"/>
          <w:szCs w:val="28"/>
        </w:rPr>
      </w:pPr>
      <w:bookmarkStart w:id="47" w:name="_Toc150774724"/>
      <w:bookmarkStart w:id="48" w:name="_Toc151193761"/>
      <w:bookmarkStart w:id="49" w:name="_Toc226337215"/>
      <w:bookmarkStart w:id="50" w:name="_Toc149720812"/>
      <w:bookmarkStart w:id="51" w:name="_Toc164351613"/>
      <w:bookmarkStart w:id="52" w:name="_Toc150509270"/>
      <w:bookmarkStart w:id="53" w:name="_Toc226965792"/>
      <w:bookmarkStart w:id="54" w:name="_Toc151193907"/>
      <w:bookmarkStart w:id="55" w:name="_Toc150774619"/>
      <w:bookmarkStart w:id="56" w:name="_Toc226309763"/>
      <w:bookmarkStart w:id="57" w:name="_Toc195842884"/>
      <w:bookmarkStart w:id="58" w:name="_Toc127151519"/>
      <w:bookmarkStart w:id="59" w:name="_Toc164229360"/>
      <w:bookmarkStart w:id="60" w:name="_Toc151190146"/>
      <w:bookmarkStart w:id="61" w:name="_Toc226965709"/>
      <w:bookmarkStart w:id="62" w:name="_Toc127151720"/>
      <w:bookmarkStart w:id="63" w:name="_Toc151193689"/>
      <w:bookmarkStart w:id="64" w:name="_Toc142311021"/>
      <w:bookmarkStart w:id="65" w:name="_Toc151193617"/>
      <w:bookmarkStart w:id="66" w:name="_Toc164608633"/>
      <w:bookmarkStart w:id="67" w:name="_Toc127161433"/>
      <w:bookmarkStart w:id="68" w:name="_Toc164608788"/>
      <w:bookmarkStart w:id="69" w:name="_Toc520356144"/>
      <w:bookmarkStart w:id="70" w:name="_Toc151193833"/>
      <w:bookmarkStart w:id="71" w:name="_Toc164229214"/>
      <w:bookmarkStart w:id="72" w:name="_Toc150480757"/>
      <w:r>
        <w:rPr>
          <w:rFonts w:ascii="Times New Roman" w:hAnsi="Times New Roman" w:eastAsia="宋体"/>
          <w:sz w:val="28"/>
        </w:rPr>
        <w:t>供应商须知资料表</w:t>
      </w:r>
    </w:p>
    <w:p w14:paraId="74170F48">
      <w:pPr>
        <w:spacing w:line="360" w:lineRule="auto"/>
        <w:ind w:firstLine="480"/>
        <w:rPr>
          <w:sz w:val="24"/>
        </w:rPr>
      </w:pPr>
      <w:r>
        <w:rPr>
          <w:sz w:val="24"/>
        </w:rPr>
        <w:t>本表是对供应商须知的具体补充和修改，如有矛盾，均以本资料表为准。</w:t>
      </w:r>
    </w:p>
    <w:tbl>
      <w:tblPr>
        <w:tblStyle w:val="29"/>
        <w:tblW w:w="99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9"/>
        <w:gridCol w:w="1664"/>
        <w:gridCol w:w="7266"/>
      </w:tblGrid>
      <w:tr w14:paraId="17976D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blHeader/>
          <w:jc w:val="center"/>
        </w:trPr>
        <w:tc>
          <w:tcPr>
            <w:tcW w:w="989" w:type="dxa"/>
            <w:noWrap w:val="0"/>
            <w:vAlign w:val="center"/>
          </w:tcPr>
          <w:p w14:paraId="17096185">
            <w:pPr>
              <w:spacing w:line="360" w:lineRule="auto"/>
              <w:jc w:val="center"/>
              <w:rPr>
                <w:b/>
                <w:bCs/>
                <w:sz w:val="24"/>
              </w:rPr>
            </w:pPr>
            <w:r>
              <w:rPr>
                <w:b/>
                <w:sz w:val="24"/>
              </w:rPr>
              <w:t>条款号</w:t>
            </w:r>
          </w:p>
        </w:tc>
        <w:tc>
          <w:tcPr>
            <w:tcW w:w="1664" w:type="dxa"/>
            <w:noWrap w:val="0"/>
            <w:vAlign w:val="center"/>
          </w:tcPr>
          <w:p w14:paraId="5D8039AE">
            <w:pPr>
              <w:spacing w:line="360" w:lineRule="auto"/>
              <w:jc w:val="center"/>
              <w:rPr>
                <w:b/>
                <w:bCs/>
                <w:sz w:val="24"/>
              </w:rPr>
            </w:pPr>
            <w:r>
              <w:rPr>
                <w:b/>
                <w:bCs/>
                <w:sz w:val="24"/>
              </w:rPr>
              <w:t>条目</w:t>
            </w:r>
          </w:p>
        </w:tc>
        <w:tc>
          <w:tcPr>
            <w:tcW w:w="7266" w:type="dxa"/>
            <w:noWrap w:val="0"/>
            <w:vAlign w:val="center"/>
          </w:tcPr>
          <w:p w14:paraId="1941167E">
            <w:pPr>
              <w:spacing w:line="360" w:lineRule="auto"/>
              <w:jc w:val="center"/>
              <w:rPr>
                <w:b/>
                <w:bCs/>
                <w:sz w:val="24"/>
              </w:rPr>
            </w:pPr>
            <w:r>
              <w:rPr>
                <w:b/>
                <w:bCs/>
                <w:sz w:val="24"/>
              </w:rPr>
              <w:t>内容</w:t>
            </w:r>
          </w:p>
        </w:tc>
      </w:tr>
      <w:tr w14:paraId="03BC58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95" w:hRule="atLeast"/>
          <w:jc w:val="center"/>
        </w:trPr>
        <w:tc>
          <w:tcPr>
            <w:tcW w:w="989" w:type="dxa"/>
            <w:noWrap w:val="0"/>
            <w:vAlign w:val="center"/>
          </w:tcPr>
          <w:p w14:paraId="6A6130B2">
            <w:pPr>
              <w:pStyle w:val="221"/>
              <w:spacing w:line="360" w:lineRule="auto"/>
              <w:jc w:val="center"/>
              <w:rPr>
                <w:rFonts w:ascii="Times New Roman" w:hAnsi="Times New Roman"/>
                <w:sz w:val="24"/>
                <w:szCs w:val="24"/>
              </w:rPr>
            </w:pPr>
            <w:r>
              <w:rPr>
                <w:rFonts w:ascii="Times New Roman" w:hAnsi="Times New Roman"/>
                <w:sz w:val="24"/>
                <w:szCs w:val="24"/>
              </w:rPr>
              <w:t>2.2</w:t>
            </w:r>
          </w:p>
        </w:tc>
        <w:tc>
          <w:tcPr>
            <w:tcW w:w="1664" w:type="dxa"/>
            <w:noWrap w:val="0"/>
            <w:vAlign w:val="center"/>
          </w:tcPr>
          <w:p w14:paraId="57506A86">
            <w:pPr>
              <w:spacing w:line="360" w:lineRule="auto"/>
              <w:jc w:val="center"/>
              <w:rPr>
                <w:sz w:val="24"/>
                <w:u w:val="none"/>
              </w:rPr>
            </w:pPr>
            <w:r>
              <w:rPr>
                <w:sz w:val="24"/>
                <w:u w:val="none"/>
              </w:rPr>
              <w:t>项目属性</w:t>
            </w:r>
          </w:p>
        </w:tc>
        <w:tc>
          <w:tcPr>
            <w:tcW w:w="7266" w:type="dxa"/>
            <w:noWrap w:val="0"/>
            <w:vAlign w:val="center"/>
          </w:tcPr>
          <w:p w14:paraId="2DAC8174">
            <w:pPr>
              <w:spacing w:line="360" w:lineRule="auto"/>
              <w:jc w:val="left"/>
              <w:rPr>
                <w:rFonts w:hint="eastAsia" w:eastAsia="宋体"/>
                <w:sz w:val="24"/>
                <w:u w:val="none"/>
                <w:lang w:eastAsia="zh-CN"/>
              </w:rPr>
            </w:pPr>
            <w:r>
              <w:rPr>
                <w:sz w:val="24"/>
                <w:u w:val="none"/>
              </w:rPr>
              <w:t>项目属性：</w:t>
            </w:r>
            <w:r>
              <w:rPr>
                <w:rFonts w:hint="eastAsia"/>
                <w:sz w:val="24"/>
                <w:u w:val="none"/>
                <w:lang w:val="en-US" w:eastAsia="zh-CN"/>
              </w:rPr>
              <w:t>服务</w:t>
            </w:r>
          </w:p>
        </w:tc>
      </w:tr>
      <w:tr w14:paraId="33330A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42995C0B">
            <w:pPr>
              <w:pStyle w:val="221"/>
              <w:spacing w:line="360" w:lineRule="auto"/>
              <w:jc w:val="center"/>
              <w:rPr>
                <w:rFonts w:ascii="Times New Roman" w:hAnsi="Times New Roman"/>
                <w:sz w:val="24"/>
                <w:szCs w:val="24"/>
              </w:rPr>
            </w:pPr>
            <w:r>
              <w:rPr>
                <w:rFonts w:ascii="Times New Roman" w:hAnsi="Times New Roman"/>
                <w:sz w:val="24"/>
                <w:szCs w:val="24"/>
              </w:rPr>
              <w:t>2.3</w:t>
            </w:r>
          </w:p>
        </w:tc>
        <w:tc>
          <w:tcPr>
            <w:tcW w:w="1664" w:type="dxa"/>
            <w:noWrap w:val="0"/>
            <w:vAlign w:val="center"/>
          </w:tcPr>
          <w:p w14:paraId="46866872">
            <w:pPr>
              <w:spacing w:line="360" w:lineRule="auto"/>
              <w:jc w:val="center"/>
              <w:rPr>
                <w:sz w:val="24"/>
                <w:u w:val="none"/>
              </w:rPr>
            </w:pPr>
            <w:r>
              <w:rPr>
                <w:sz w:val="24"/>
                <w:u w:val="none"/>
              </w:rPr>
              <w:t>科研仪器设备</w:t>
            </w:r>
          </w:p>
        </w:tc>
        <w:tc>
          <w:tcPr>
            <w:tcW w:w="7266" w:type="dxa"/>
            <w:noWrap w:val="0"/>
            <w:vAlign w:val="center"/>
          </w:tcPr>
          <w:p w14:paraId="181BABE6">
            <w:pPr>
              <w:spacing w:line="360" w:lineRule="auto"/>
              <w:jc w:val="left"/>
              <w:rPr>
                <w:sz w:val="24"/>
                <w:u w:val="none"/>
              </w:rPr>
            </w:pPr>
            <w:r>
              <w:rPr>
                <w:sz w:val="24"/>
                <w:u w:val="none"/>
              </w:rPr>
              <w:t>是否属于科研仪器设备采购项目：否</w:t>
            </w:r>
          </w:p>
        </w:tc>
      </w:tr>
      <w:tr w14:paraId="14D31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vMerge w:val="restart"/>
            <w:noWrap w:val="0"/>
            <w:vAlign w:val="center"/>
          </w:tcPr>
          <w:p w14:paraId="62A34590">
            <w:pPr>
              <w:pStyle w:val="221"/>
              <w:spacing w:line="360" w:lineRule="auto"/>
              <w:jc w:val="center"/>
              <w:rPr>
                <w:rFonts w:ascii="Times New Roman" w:hAnsi="Times New Roman"/>
                <w:sz w:val="24"/>
                <w:szCs w:val="24"/>
              </w:rPr>
            </w:pPr>
            <w:r>
              <w:rPr>
                <w:rFonts w:ascii="Times New Roman" w:hAnsi="Times New Roman"/>
                <w:sz w:val="24"/>
                <w:szCs w:val="24"/>
              </w:rPr>
              <w:t>3.1</w:t>
            </w:r>
          </w:p>
        </w:tc>
        <w:tc>
          <w:tcPr>
            <w:tcW w:w="1664" w:type="dxa"/>
            <w:noWrap w:val="0"/>
            <w:vAlign w:val="center"/>
          </w:tcPr>
          <w:p w14:paraId="25461A90">
            <w:pPr>
              <w:spacing w:line="360" w:lineRule="auto"/>
              <w:jc w:val="center"/>
              <w:rPr>
                <w:sz w:val="24"/>
                <w:u w:val="none"/>
              </w:rPr>
            </w:pPr>
            <w:r>
              <w:rPr>
                <w:sz w:val="24"/>
                <w:u w:val="none"/>
              </w:rPr>
              <w:t>现场考察</w:t>
            </w:r>
          </w:p>
        </w:tc>
        <w:tc>
          <w:tcPr>
            <w:tcW w:w="7266" w:type="dxa"/>
            <w:noWrap w:val="0"/>
            <w:vAlign w:val="center"/>
          </w:tcPr>
          <w:p w14:paraId="7F567AA8">
            <w:pPr>
              <w:spacing w:line="360" w:lineRule="auto"/>
              <w:jc w:val="left"/>
              <w:rPr>
                <w:rFonts w:ascii="Times New Roman" w:hAnsi="Times New Roman"/>
                <w:sz w:val="24"/>
                <w:szCs w:val="24"/>
                <w:u w:val="none"/>
              </w:rPr>
            </w:pPr>
            <w:r>
              <w:rPr>
                <w:sz w:val="24"/>
                <w:u w:val="none"/>
              </w:rPr>
              <w:t>不组织</w:t>
            </w:r>
          </w:p>
        </w:tc>
      </w:tr>
      <w:tr w14:paraId="556BD5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vMerge w:val="continue"/>
            <w:noWrap w:val="0"/>
            <w:vAlign w:val="center"/>
          </w:tcPr>
          <w:p w14:paraId="680E72DF">
            <w:pPr>
              <w:pStyle w:val="221"/>
              <w:spacing w:line="360" w:lineRule="auto"/>
              <w:jc w:val="center"/>
              <w:rPr>
                <w:rFonts w:ascii="Times New Roman" w:hAnsi="Times New Roman"/>
                <w:sz w:val="24"/>
                <w:szCs w:val="24"/>
              </w:rPr>
            </w:pPr>
          </w:p>
        </w:tc>
        <w:tc>
          <w:tcPr>
            <w:tcW w:w="1664" w:type="dxa"/>
            <w:noWrap w:val="0"/>
            <w:vAlign w:val="center"/>
          </w:tcPr>
          <w:p w14:paraId="04F8A211">
            <w:pPr>
              <w:spacing w:line="360" w:lineRule="auto"/>
              <w:jc w:val="center"/>
              <w:rPr>
                <w:sz w:val="24"/>
                <w:u w:val="none"/>
              </w:rPr>
            </w:pPr>
            <w:r>
              <w:rPr>
                <w:sz w:val="24"/>
                <w:u w:val="none"/>
              </w:rPr>
              <w:t>磋商前答疑会</w:t>
            </w:r>
          </w:p>
        </w:tc>
        <w:tc>
          <w:tcPr>
            <w:tcW w:w="7266" w:type="dxa"/>
            <w:noWrap w:val="0"/>
            <w:vAlign w:val="center"/>
          </w:tcPr>
          <w:p w14:paraId="6BD56120">
            <w:pPr>
              <w:spacing w:line="360" w:lineRule="auto"/>
              <w:jc w:val="left"/>
              <w:rPr>
                <w:sz w:val="24"/>
                <w:u w:val="none"/>
              </w:rPr>
            </w:pPr>
            <w:r>
              <w:rPr>
                <w:sz w:val="24"/>
                <w:u w:val="none"/>
              </w:rPr>
              <w:t>不召开</w:t>
            </w:r>
          </w:p>
        </w:tc>
      </w:tr>
      <w:tr w14:paraId="6881A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6556F0E4">
            <w:pPr>
              <w:pStyle w:val="221"/>
              <w:spacing w:line="360" w:lineRule="auto"/>
              <w:jc w:val="center"/>
              <w:rPr>
                <w:rFonts w:ascii="Times New Roman" w:hAnsi="Times New Roman"/>
                <w:sz w:val="24"/>
                <w:szCs w:val="24"/>
                <w:highlight w:val="none"/>
              </w:rPr>
            </w:pPr>
            <w:r>
              <w:rPr>
                <w:rFonts w:ascii="Times New Roman" w:hAnsi="Times New Roman"/>
                <w:sz w:val="24"/>
                <w:szCs w:val="24"/>
                <w:highlight w:val="none"/>
              </w:rPr>
              <w:t>4.2.5</w:t>
            </w:r>
          </w:p>
        </w:tc>
        <w:tc>
          <w:tcPr>
            <w:tcW w:w="1664" w:type="dxa"/>
            <w:noWrap w:val="0"/>
            <w:vAlign w:val="center"/>
          </w:tcPr>
          <w:p w14:paraId="11564DE3">
            <w:pPr>
              <w:spacing w:line="360" w:lineRule="auto"/>
              <w:jc w:val="center"/>
              <w:rPr>
                <w:sz w:val="24"/>
                <w:highlight w:val="none"/>
                <w:u w:val="none"/>
              </w:rPr>
            </w:pPr>
            <w:r>
              <w:rPr>
                <w:sz w:val="24"/>
                <w:highlight w:val="none"/>
                <w:u w:val="none"/>
              </w:rPr>
              <w:t>标的所属行业</w:t>
            </w:r>
          </w:p>
        </w:tc>
        <w:tc>
          <w:tcPr>
            <w:tcW w:w="7266" w:type="dxa"/>
            <w:noWrap w:val="0"/>
            <w:vAlign w:val="center"/>
          </w:tcPr>
          <w:p w14:paraId="4E513163">
            <w:pPr>
              <w:spacing w:line="360" w:lineRule="auto"/>
              <w:jc w:val="left"/>
              <w:rPr>
                <w:rFonts w:hint="eastAsia" w:eastAsia="宋体"/>
                <w:sz w:val="24"/>
                <w:highlight w:val="none"/>
                <w:u w:val="none"/>
                <w:lang w:eastAsia="zh-CN"/>
              </w:rPr>
            </w:pPr>
            <w:r>
              <w:rPr>
                <w:sz w:val="24"/>
                <w:highlight w:val="none"/>
                <w:u w:val="none"/>
              </w:rPr>
              <w:t>本项目采购标的对应的中小企业划分标准所属行业：</w:t>
            </w:r>
            <w:r>
              <w:rPr>
                <w:sz w:val="24"/>
                <w:highlight w:val="none"/>
                <w:u w:val="single"/>
              </w:rPr>
              <w:t>其他未列明行 业</w:t>
            </w:r>
          </w:p>
        </w:tc>
      </w:tr>
      <w:tr w14:paraId="3A38B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3" w:hRule="atLeast"/>
          <w:jc w:val="center"/>
        </w:trPr>
        <w:tc>
          <w:tcPr>
            <w:tcW w:w="989" w:type="dxa"/>
            <w:noWrap w:val="0"/>
            <w:vAlign w:val="center"/>
          </w:tcPr>
          <w:p w14:paraId="2A7C5379">
            <w:pPr>
              <w:pStyle w:val="221"/>
              <w:spacing w:line="360" w:lineRule="auto"/>
              <w:jc w:val="center"/>
              <w:rPr>
                <w:rFonts w:ascii="Times New Roman" w:hAnsi="Times New Roman"/>
                <w:sz w:val="24"/>
                <w:szCs w:val="24"/>
              </w:rPr>
            </w:pPr>
            <w:r>
              <w:rPr>
                <w:rFonts w:ascii="Times New Roman" w:hAnsi="Times New Roman"/>
                <w:sz w:val="24"/>
                <w:szCs w:val="24"/>
              </w:rPr>
              <w:t>10.2</w:t>
            </w:r>
          </w:p>
        </w:tc>
        <w:tc>
          <w:tcPr>
            <w:tcW w:w="1664" w:type="dxa"/>
            <w:noWrap w:val="0"/>
            <w:vAlign w:val="center"/>
          </w:tcPr>
          <w:p w14:paraId="19FF2E11">
            <w:pPr>
              <w:spacing w:line="360" w:lineRule="auto"/>
              <w:jc w:val="center"/>
              <w:rPr>
                <w:sz w:val="24"/>
                <w:u w:val="none"/>
              </w:rPr>
            </w:pPr>
            <w:r>
              <w:rPr>
                <w:sz w:val="24"/>
                <w:u w:val="none"/>
              </w:rPr>
              <w:t>报价</w:t>
            </w:r>
          </w:p>
        </w:tc>
        <w:tc>
          <w:tcPr>
            <w:tcW w:w="7266" w:type="dxa"/>
            <w:noWrap w:val="0"/>
            <w:vAlign w:val="center"/>
          </w:tcPr>
          <w:p w14:paraId="44544647">
            <w:pPr>
              <w:spacing w:line="360" w:lineRule="auto"/>
              <w:jc w:val="left"/>
              <w:rPr>
                <w:rFonts w:hint="eastAsia" w:eastAsia="宋体"/>
                <w:sz w:val="24"/>
                <w:u w:val="none"/>
                <w:lang w:eastAsia="zh-CN"/>
              </w:rPr>
            </w:pPr>
            <w:r>
              <w:rPr>
                <w:sz w:val="24"/>
                <w:u w:val="none"/>
              </w:rPr>
              <w:t>报价的特殊规定：</w:t>
            </w:r>
            <w:r>
              <w:rPr>
                <w:rFonts w:hint="eastAsia"/>
                <w:sz w:val="24"/>
                <w:u w:val="none"/>
              </w:rPr>
              <w:t>有，具体情形：本项目采用二次报价，响应文件中书面报价为首轮报价，第二轮报价不得超过首轮报价，第二轮报价即为最终报价；否则作无效报价文件处理</w:t>
            </w:r>
            <w:r>
              <w:rPr>
                <w:rFonts w:hint="eastAsia"/>
                <w:sz w:val="24"/>
                <w:u w:val="none"/>
                <w:lang w:eastAsia="zh-CN"/>
              </w:rPr>
              <w:t>。</w:t>
            </w:r>
          </w:p>
        </w:tc>
      </w:tr>
      <w:tr w14:paraId="4E3E6F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7217E1E8">
            <w:pPr>
              <w:pStyle w:val="221"/>
              <w:spacing w:line="360" w:lineRule="auto"/>
              <w:jc w:val="center"/>
              <w:rPr>
                <w:rFonts w:ascii="Times New Roman" w:hAnsi="Times New Roman"/>
                <w:sz w:val="24"/>
                <w:szCs w:val="24"/>
              </w:rPr>
            </w:pPr>
            <w:r>
              <w:rPr>
                <w:rFonts w:ascii="Times New Roman" w:hAnsi="Times New Roman"/>
                <w:sz w:val="24"/>
                <w:szCs w:val="24"/>
              </w:rPr>
              <w:t>11.1</w:t>
            </w:r>
          </w:p>
        </w:tc>
        <w:tc>
          <w:tcPr>
            <w:tcW w:w="1664" w:type="dxa"/>
            <w:noWrap w:val="0"/>
            <w:vAlign w:val="center"/>
          </w:tcPr>
          <w:p w14:paraId="738D07B4">
            <w:pPr>
              <w:spacing w:line="360" w:lineRule="auto"/>
              <w:jc w:val="center"/>
              <w:rPr>
                <w:sz w:val="24"/>
                <w:u w:val="none"/>
              </w:rPr>
            </w:pPr>
            <w:r>
              <w:rPr>
                <w:sz w:val="24"/>
                <w:u w:val="none"/>
              </w:rPr>
              <w:t>磋商保证金</w:t>
            </w:r>
          </w:p>
        </w:tc>
        <w:tc>
          <w:tcPr>
            <w:tcW w:w="7266" w:type="dxa"/>
            <w:noWrap w:val="0"/>
            <w:vAlign w:val="center"/>
          </w:tcPr>
          <w:p w14:paraId="3206A9FA">
            <w:pPr>
              <w:spacing w:line="360" w:lineRule="auto"/>
              <w:jc w:val="left"/>
              <w:rPr>
                <w:sz w:val="24"/>
                <w:u w:val="none"/>
              </w:rPr>
            </w:pPr>
            <w:r>
              <w:rPr>
                <w:rFonts w:hint="eastAsia"/>
                <w:sz w:val="24"/>
                <w:u w:val="none"/>
              </w:rPr>
              <w:t>免收</w:t>
            </w:r>
          </w:p>
        </w:tc>
      </w:tr>
      <w:tr w14:paraId="3B9340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79B71478">
            <w:pPr>
              <w:pStyle w:val="221"/>
              <w:spacing w:line="360" w:lineRule="auto"/>
              <w:jc w:val="center"/>
              <w:rPr>
                <w:rFonts w:ascii="Times New Roman" w:hAnsi="Times New Roman"/>
                <w:sz w:val="24"/>
                <w:szCs w:val="24"/>
              </w:rPr>
            </w:pPr>
            <w:r>
              <w:rPr>
                <w:rFonts w:ascii="Times New Roman" w:hAnsi="Times New Roman"/>
                <w:sz w:val="24"/>
                <w:szCs w:val="24"/>
              </w:rPr>
              <w:t>12.1</w:t>
            </w:r>
          </w:p>
        </w:tc>
        <w:tc>
          <w:tcPr>
            <w:tcW w:w="1664" w:type="dxa"/>
            <w:noWrap w:val="0"/>
            <w:vAlign w:val="center"/>
          </w:tcPr>
          <w:p w14:paraId="0634AA97">
            <w:pPr>
              <w:spacing w:line="360" w:lineRule="auto"/>
              <w:jc w:val="center"/>
              <w:rPr>
                <w:sz w:val="24"/>
                <w:u w:val="none"/>
              </w:rPr>
            </w:pPr>
            <w:r>
              <w:rPr>
                <w:sz w:val="24"/>
                <w:u w:val="none"/>
              </w:rPr>
              <w:t>响应有效期</w:t>
            </w:r>
          </w:p>
        </w:tc>
        <w:tc>
          <w:tcPr>
            <w:tcW w:w="7266" w:type="dxa"/>
            <w:noWrap w:val="0"/>
            <w:vAlign w:val="center"/>
          </w:tcPr>
          <w:p w14:paraId="3891EDE0">
            <w:pPr>
              <w:spacing w:line="360" w:lineRule="auto"/>
              <w:jc w:val="left"/>
              <w:rPr>
                <w:sz w:val="24"/>
                <w:u w:val="none"/>
              </w:rPr>
            </w:pPr>
            <w:r>
              <w:rPr>
                <w:sz w:val="24"/>
                <w:u w:val="none"/>
              </w:rPr>
              <w:t>自提交响应文件的截止之日起算</w:t>
            </w:r>
            <w:r>
              <w:rPr>
                <w:rFonts w:hint="eastAsia"/>
                <w:sz w:val="24"/>
                <w:u w:val="none"/>
                <w:lang w:val="en-US" w:eastAsia="zh-CN"/>
              </w:rPr>
              <w:t>60</w:t>
            </w:r>
            <w:r>
              <w:rPr>
                <w:sz w:val="24"/>
                <w:u w:val="none"/>
              </w:rPr>
              <w:t>日历天。</w:t>
            </w:r>
          </w:p>
        </w:tc>
      </w:tr>
      <w:tr w14:paraId="703059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44F6B28A">
            <w:pPr>
              <w:pStyle w:val="221"/>
              <w:spacing w:line="360" w:lineRule="auto"/>
              <w:jc w:val="center"/>
              <w:rPr>
                <w:rFonts w:ascii="Times New Roman" w:hAnsi="Times New Roman"/>
                <w:sz w:val="24"/>
                <w:szCs w:val="24"/>
              </w:rPr>
            </w:pPr>
            <w:r>
              <w:rPr>
                <w:rFonts w:ascii="Times New Roman" w:hAnsi="Times New Roman"/>
                <w:sz w:val="24"/>
                <w:szCs w:val="24"/>
              </w:rPr>
              <w:t>23.5</w:t>
            </w:r>
          </w:p>
        </w:tc>
        <w:tc>
          <w:tcPr>
            <w:tcW w:w="1664" w:type="dxa"/>
            <w:noWrap w:val="0"/>
            <w:vAlign w:val="center"/>
          </w:tcPr>
          <w:p w14:paraId="0743BB8A">
            <w:pPr>
              <w:spacing w:line="360" w:lineRule="auto"/>
              <w:jc w:val="center"/>
              <w:rPr>
                <w:sz w:val="24"/>
                <w:u w:val="none"/>
              </w:rPr>
            </w:pPr>
            <w:r>
              <w:rPr>
                <w:sz w:val="24"/>
                <w:u w:val="none"/>
              </w:rPr>
              <w:t>分包</w:t>
            </w:r>
          </w:p>
        </w:tc>
        <w:tc>
          <w:tcPr>
            <w:tcW w:w="7266" w:type="dxa"/>
            <w:noWrap w:val="0"/>
            <w:vAlign w:val="center"/>
          </w:tcPr>
          <w:p w14:paraId="02AA7EF3">
            <w:pPr>
              <w:spacing w:line="360" w:lineRule="auto"/>
              <w:jc w:val="left"/>
              <w:rPr>
                <w:sz w:val="24"/>
                <w:u w:val="none"/>
              </w:rPr>
            </w:pPr>
            <w:r>
              <w:rPr>
                <w:sz w:val="24"/>
                <w:u w:val="none"/>
              </w:rPr>
              <w:t>本项目是否允许分包： 不允许</w:t>
            </w:r>
          </w:p>
        </w:tc>
      </w:tr>
      <w:tr w14:paraId="7A7C1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54135EBB">
            <w:pPr>
              <w:pStyle w:val="221"/>
              <w:spacing w:line="360" w:lineRule="auto"/>
              <w:jc w:val="center"/>
              <w:rPr>
                <w:rFonts w:ascii="Times New Roman" w:hAnsi="Times New Roman"/>
                <w:sz w:val="24"/>
                <w:szCs w:val="24"/>
              </w:rPr>
            </w:pPr>
            <w:r>
              <w:rPr>
                <w:rFonts w:ascii="Times New Roman" w:hAnsi="Times New Roman"/>
                <w:sz w:val="24"/>
                <w:szCs w:val="24"/>
              </w:rPr>
              <w:t>24.1.1</w:t>
            </w:r>
          </w:p>
        </w:tc>
        <w:tc>
          <w:tcPr>
            <w:tcW w:w="1664" w:type="dxa"/>
            <w:noWrap w:val="0"/>
            <w:vAlign w:val="center"/>
          </w:tcPr>
          <w:p w14:paraId="1275103B">
            <w:pPr>
              <w:spacing w:line="360" w:lineRule="auto"/>
              <w:jc w:val="center"/>
              <w:rPr>
                <w:sz w:val="24"/>
                <w:u w:val="none"/>
              </w:rPr>
            </w:pPr>
            <w:r>
              <w:rPr>
                <w:sz w:val="24"/>
                <w:u w:val="none"/>
              </w:rPr>
              <w:t>询问</w:t>
            </w:r>
          </w:p>
        </w:tc>
        <w:tc>
          <w:tcPr>
            <w:tcW w:w="7266" w:type="dxa"/>
            <w:noWrap w:val="0"/>
            <w:vAlign w:val="center"/>
          </w:tcPr>
          <w:p w14:paraId="2A562BBE">
            <w:pPr>
              <w:spacing w:line="360" w:lineRule="auto"/>
              <w:jc w:val="left"/>
              <w:rPr>
                <w:sz w:val="24"/>
                <w:u w:val="none"/>
              </w:rPr>
            </w:pPr>
            <w:r>
              <w:rPr>
                <w:sz w:val="24"/>
                <w:u w:val="none"/>
              </w:rPr>
              <w:t>询问送达形式：</w:t>
            </w:r>
            <w:r>
              <w:rPr>
                <w:rFonts w:hint="eastAsia"/>
                <w:sz w:val="24"/>
                <w:u w:val="none"/>
              </w:rPr>
              <w:t>书面形式</w:t>
            </w:r>
            <w:r>
              <w:rPr>
                <w:sz w:val="24"/>
                <w:u w:val="none"/>
              </w:rPr>
              <w:t>。</w:t>
            </w:r>
          </w:p>
        </w:tc>
      </w:tr>
      <w:tr w14:paraId="140E5A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989" w:type="dxa"/>
            <w:noWrap w:val="0"/>
            <w:vAlign w:val="center"/>
          </w:tcPr>
          <w:p w14:paraId="648E1B72">
            <w:pPr>
              <w:pStyle w:val="221"/>
              <w:spacing w:line="360" w:lineRule="auto"/>
              <w:jc w:val="center"/>
              <w:rPr>
                <w:rFonts w:ascii="Times New Roman" w:hAnsi="Times New Roman"/>
                <w:sz w:val="24"/>
                <w:szCs w:val="24"/>
              </w:rPr>
            </w:pPr>
            <w:r>
              <w:rPr>
                <w:rFonts w:ascii="Times New Roman" w:hAnsi="Times New Roman"/>
                <w:sz w:val="24"/>
                <w:szCs w:val="24"/>
              </w:rPr>
              <w:t>24.3</w:t>
            </w:r>
          </w:p>
        </w:tc>
        <w:tc>
          <w:tcPr>
            <w:tcW w:w="1664" w:type="dxa"/>
            <w:noWrap w:val="0"/>
            <w:vAlign w:val="center"/>
          </w:tcPr>
          <w:p w14:paraId="4ED48915">
            <w:pPr>
              <w:spacing w:line="360" w:lineRule="auto"/>
              <w:jc w:val="center"/>
              <w:rPr>
                <w:sz w:val="24"/>
                <w:u w:val="none"/>
              </w:rPr>
            </w:pPr>
            <w:r>
              <w:rPr>
                <w:sz w:val="24"/>
                <w:u w:val="none"/>
              </w:rPr>
              <w:t>联系方式</w:t>
            </w:r>
          </w:p>
        </w:tc>
        <w:tc>
          <w:tcPr>
            <w:tcW w:w="7266" w:type="dxa"/>
            <w:noWrap w:val="0"/>
            <w:vAlign w:val="center"/>
          </w:tcPr>
          <w:p w14:paraId="551365DD">
            <w:pPr>
              <w:spacing w:line="360" w:lineRule="auto"/>
              <w:jc w:val="left"/>
              <w:rPr>
                <w:sz w:val="24"/>
                <w:u w:val="none"/>
              </w:rPr>
            </w:pPr>
            <w:r>
              <w:rPr>
                <w:sz w:val="24"/>
                <w:u w:val="none"/>
              </w:rPr>
              <w:t>接收询问和质疑的联系方式</w:t>
            </w:r>
          </w:p>
          <w:p w14:paraId="33FDF168">
            <w:pPr>
              <w:spacing w:line="360" w:lineRule="auto"/>
              <w:jc w:val="left"/>
              <w:rPr>
                <w:sz w:val="24"/>
                <w:u w:val="none"/>
              </w:rPr>
            </w:pPr>
            <w:r>
              <w:rPr>
                <w:sz w:val="24"/>
                <w:u w:val="none"/>
              </w:rPr>
              <w:t>联系部门：</w:t>
            </w:r>
            <w:r>
              <w:rPr>
                <w:rFonts w:hint="eastAsia"/>
                <w:sz w:val="24"/>
                <w:u w:val="none"/>
                <w:lang w:eastAsia="zh-CN"/>
              </w:rPr>
              <w:t>溧阳普弘信工程项目管理有限公司</w:t>
            </w:r>
            <w:r>
              <w:rPr>
                <w:sz w:val="24"/>
                <w:u w:val="none"/>
              </w:rPr>
              <w:t>；</w:t>
            </w:r>
          </w:p>
          <w:p w14:paraId="7C506655">
            <w:pPr>
              <w:spacing w:line="360" w:lineRule="auto"/>
              <w:jc w:val="left"/>
              <w:rPr>
                <w:sz w:val="24"/>
                <w:u w:val="none"/>
              </w:rPr>
            </w:pPr>
            <w:r>
              <w:rPr>
                <w:sz w:val="24"/>
                <w:u w:val="none"/>
              </w:rPr>
              <w:t>联系电话：</w:t>
            </w:r>
            <w:r>
              <w:rPr>
                <w:rFonts w:hint="eastAsia"/>
                <w:sz w:val="24"/>
                <w:u w:val="none"/>
                <w:lang w:val="en-US" w:eastAsia="zh-CN"/>
              </w:rPr>
              <w:t>13961105142</w:t>
            </w:r>
            <w:r>
              <w:rPr>
                <w:sz w:val="24"/>
                <w:u w:val="none"/>
              </w:rPr>
              <w:t>；</w:t>
            </w:r>
          </w:p>
          <w:p w14:paraId="7E09B225">
            <w:pPr>
              <w:spacing w:line="360" w:lineRule="auto"/>
              <w:jc w:val="left"/>
              <w:rPr>
                <w:sz w:val="24"/>
                <w:u w:val="none"/>
              </w:rPr>
            </w:pPr>
            <w:r>
              <w:rPr>
                <w:sz w:val="24"/>
                <w:u w:val="none"/>
              </w:rPr>
              <w:t>通讯地址：</w:t>
            </w:r>
            <w:r>
              <w:rPr>
                <w:rFonts w:hint="eastAsia" w:ascii="Times New Roman" w:hAnsi="Times New Roman" w:eastAsia="宋体" w:cs="Times New Roman"/>
                <w:sz w:val="24"/>
                <w:u w:val="none"/>
                <w:lang w:val="zh-CN" w:bidi="ar"/>
              </w:rPr>
              <w:t>溧阳市平陵大厦19楼1920室</w:t>
            </w:r>
            <w:r>
              <w:rPr>
                <w:sz w:val="24"/>
                <w:u w:val="none"/>
              </w:rPr>
              <w:t>。</w:t>
            </w:r>
          </w:p>
        </w:tc>
      </w:tr>
      <w:tr w14:paraId="57B620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20" w:hRule="atLeast"/>
          <w:jc w:val="center"/>
        </w:trPr>
        <w:tc>
          <w:tcPr>
            <w:tcW w:w="989" w:type="dxa"/>
            <w:noWrap w:val="0"/>
            <w:vAlign w:val="center"/>
          </w:tcPr>
          <w:p w14:paraId="17ACA363">
            <w:pPr>
              <w:pStyle w:val="221"/>
              <w:spacing w:line="360" w:lineRule="auto"/>
              <w:jc w:val="center"/>
              <w:rPr>
                <w:rFonts w:ascii="Times New Roman" w:hAnsi="Times New Roman"/>
                <w:sz w:val="24"/>
                <w:szCs w:val="24"/>
              </w:rPr>
            </w:pPr>
            <w:r>
              <w:rPr>
                <w:rFonts w:ascii="Times New Roman" w:hAnsi="Times New Roman"/>
                <w:sz w:val="24"/>
                <w:szCs w:val="24"/>
              </w:rPr>
              <w:t>25</w:t>
            </w:r>
          </w:p>
        </w:tc>
        <w:tc>
          <w:tcPr>
            <w:tcW w:w="1664" w:type="dxa"/>
            <w:noWrap w:val="0"/>
            <w:vAlign w:val="center"/>
          </w:tcPr>
          <w:p w14:paraId="50DEDC64">
            <w:pPr>
              <w:spacing w:line="360" w:lineRule="auto"/>
              <w:jc w:val="center"/>
              <w:rPr>
                <w:sz w:val="24"/>
                <w:u w:val="none"/>
              </w:rPr>
            </w:pPr>
            <w:r>
              <w:rPr>
                <w:sz w:val="24"/>
                <w:u w:val="none"/>
              </w:rPr>
              <w:t>代理费</w:t>
            </w:r>
          </w:p>
        </w:tc>
        <w:tc>
          <w:tcPr>
            <w:tcW w:w="7266" w:type="dxa"/>
            <w:noWrap w:val="0"/>
            <w:vAlign w:val="center"/>
          </w:tcPr>
          <w:p w14:paraId="0916D173">
            <w:pPr>
              <w:spacing w:line="360" w:lineRule="auto"/>
              <w:jc w:val="left"/>
              <w:rPr>
                <w:sz w:val="24"/>
                <w:highlight w:val="none"/>
                <w:u w:val="none"/>
              </w:rPr>
            </w:pPr>
            <w:r>
              <w:rPr>
                <w:sz w:val="24"/>
                <w:highlight w:val="none"/>
                <w:u w:val="none"/>
              </w:rPr>
              <w:t>收费对象：成交供应商</w:t>
            </w:r>
          </w:p>
          <w:p w14:paraId="4139C87A">
            <w:pPr>
              <w:spacing w:line="360" w:lineRule="auto"/>
              <w:jc w:val="left"/>
              <w:rPr>
                <w:rFonts w:ascii="Times New Roman" w:hAnsi="Times New Roman" w:eastAsia="宋体" w:cs="Times New Roman"/>
                <w:sz w:val="24"/>
                <w:highlight w:val="none"/>
                <w:u w:val="none"/>
              </w:rPr>
            </w:pPr>
            <w:r>
              <w:rPr>
                <w:sz w:val="24"/>
                <w:highlight w:val="none"/>
                <w:u w:val="none"/>
              </w:rPr>
              <w:t>收费标准：</w:t>
            </w:r>
            <w:r>
              <w:rPr>
                <w:rFonts w:hint="eastAsia"/>
                <w:sz w:val="24"/>
                <w:highlight w:val="none"/>
                <w:u w:val="none"/>
                <w:lang w:val="en-US" w:eastAsia="zh-CN"/>
              </w:rPr>
              <w:t>按</w:t>
            </w:r>
            <w:r>
              <w:rPr>
                <w:rFonts w:hint="eastAsia"/>
                <w:sz w:val="24"/>
                <w:highlight w:val="none"/>
                <w:u w:val="none"/>
              </w:rPr>
              <w:t>苏政采协[2024]20号</w:t>
            </w:r>
            <w:r>
              <w:rPr>
                <w:rFonts w:hint="eastAsia"/>
                <w:sz w:val="24"/>
                <w:highlight w:val="none"/>
                <w:u w:val="none"/>
                <w:lang w:val="en-US" w:eastAsia="zh-CN"/>
              </w:rPr>
              <w:t>收取</w:t>
            </w:r>
            <w:r>
              <w:rPr>
                <w:rFonts w:ascii="Times New Roman" w:hAnsi="Times New Roman" w:eastAsia="宋体" w:cs="Times New Roman"/>
                <w:sz w:val="24"/>
                <w:highlight w:val="none"/>
                <w:u w:val="none"/>
              </w:rPr>
              <w:t>。</w:t>
            </w:r>
          </w:p>
          <w:p w14:paraId="5916A9D3">
            <w:pPr>
              <w:spacing w:line="360" w:lineRule="auto"/>
              <w:jc w:val="left"/>
              <w:rPr>
                <w:sz w:val="24"/>
                <w:u w:val="none"/>
              </w:rPr>
            </w:pPr>
            <w:r>
              <w:rPr>
                <w:sz w:val="24"/>
                <w:highlight w:val="none"/>
                <w:u w:val="none"/>
              </w:rPr>
              <w:t>缴纳时间：</w:t>
            </w:r>
            <w:r>
              <w:rPr>
                <w:rFonts w:ascii="宋体" w:hAnsi="宋体" w:eastAsia="宋体" w:cs="宋体"/>
                <w:sz w:val="24"/>
                <w:szCs w:val="24"/>
                <w:highlight w:val="none"/>
                <w:u w:val="none"/>
              </w:rPr>
              <w:t>领取</w:t>
            </w:r>
            <w:r>
              <w:rPr>
                <w:rFonts w:hint="eastAsia" w:ascii="宋体" w:hAnsi="宋体" w:eastAsia="宋体" w:cs="宋体"/>
                <w:sz w:val="24"/>
                <w:szCs w:val="24"/>
                <w:highlight w:val="none"/>
                <w:u w:val="none"/>
                <w:lang w:eastAsia="zh-CN"/>
              </w:rPr>
              <w:t>成</w:t>
            </w:r>
            <w:r>
              <w:rPr>
                <w:rFonts w:ascii="宋体" w:hAnsi="宋体" w:eastAsia="宋体" w:cs="宋体"/>
                <w:sz w:val="24"/>
                <w:szCs w:val="24"/>
                <w:highlight w:val="none"/>
                <w:u w:val="none"/>
              </w:rPr>
              <w:t>标通知书时。</w:t>
            </w:r>
          </w:p>
        </w:tc>
      </w:tr>
    </w:tbl>
    <w:p w14:paraId="727E83CD">
      <w:pPr>
        <w:tabs>
          <w:tab w:val="left" w:pos="5580"/>
        </w:tabs>
        <w:spacing w:line="360" w:lineRule="auto"/>
        <w:jc w:val="both"/>
        <w:rPr>
          <w:sz w:val="24"/>
        </w:rPr>
        <w:sectPr>
          <w:footerReference r:id="rId9" w:type="first"/>
          <w:footerReference r:id="rId8" w:type="default"/>
          <w:pgSz w:w="11907" w:h="16840"/>
          <w:pgMar w:top="1361" w:right="1134" w:bottom="1361" w:left="1361" w:header="851" w:footer="851" w:gutter="0"/>
          <w:pgBorders>
            <w:top w:val="none" w:sz="0" w:space="0"/>
            <w:left w:val="none" w:sz="0" w:space="0"/>
            <w:bottom w:val="none" w:sz="0" w:space="0"/>
            <w:right w:val="none" w:sz="0" w:space="0"/>
          </w:pgBorders>
          <w:pgNumType w:fmt="decimal" w:start="1"/>
          <w:cols w:space="1701" w:num="1"/>
          <w:titlePg/>
          <w:docGrid w:linePitch="360" w:charSpace="0"/>
        </w:sectPr>
      </w:pPr>
    </w:p>
    <w:p w14:paraId="69CEA96D">
      <w:pPr>
        <w:spacing w:before="240" w:after="240"/>
        <w:jc w:val="center"/>
        <w:rPr>
          <w:b/>
          <w:sz w:val="28"/>
          <w:szCs w:val="28"/>
        </w:rPr>
      </w:pPr>
      <w:bookmarkStart w:id="73" w:name="_Toc353873934"/>
      <w:bookmarkStart w:id="74" w:name="_Toc305158822"/>
      <w:bookmarkStart w:id="75" w:name="_Toc142311056"/>
      <w:bookmarkStart w:id="76" w:name="_Toc150480792"/>
      <w:bookmarkStart w:id="77" w:name="_Toc264969244"/>
      <w:bookmarkStart w:id="78" w:name="_Toc127151554"/>
      <w:bookmarkStart w:id="79" w:name="_Toc226965827"/>
      <w:bookmarkStart w:id="80" w:name="_Toc265228392"/>
      <w:bookmarkStart w:id="81" w:name="_Toc305158896"/>
      <w:bookmarkStart w:id="82" w:name="_Toc353873664"/>
      <w:bookmarkStart w:id="83" w:name="_Toc353825544"/>
      <w:bookmarkStart w:id="84" w:name="_Toc150774759"/>
      <w:bookmarkStart w:id="85" w:name="_Toc226337250"/>
      <w:r>
        <w:rPr>
          <w:b/>
          <w:sz w:val="28"/>
          <w:szCs w:val="28"/>
        </w:rPr>
        <w:t>供应商须知</w:t>
      </w:r>
    </w:p>
    <w:p w14:paraId="69DDC540">
      <w:pPr>
        <w:pStyle w:val="184"/>
        <w:tabs>
          <w:tab w:val="center" w:pos="4592"/>
          <w:tab w:val="left" w:pos="7860"/>
        </w:tabs>
        <w:spacing w:before="0" w:line="360" w:lineRule="auto"/>
        <w:jc w:val="left"/>
        <w:rPr>
          <w:rFonts w:ascii="Times New Roman" w:hAnsi="Times New Roman" w:eastAsia="宋体"/>
          <w:sz w:val="28"/>
        </w:rPr>
      </w:pPr>
      <w:bookmarkStart w:id="86" w:name="_Toc520356143"/>
      <w:bookmarkStart w:id="87" w:name="_Toc127151518"/>
      <w:r>
        <w:rPr>
          <w:rFonts w:ascii="Times New Roman" w:hAnsi="Times New Roman" w:eastAsia="宋体"/>
          <w:sz w:val="28"/>
        </w:rPr>
        <w:tab/>
      </w:r>
      <w:bookmarkStart w:id="88" w:name="_Toc226309762"/>
      <w:bookmarkStart w:id="89" w:name="_Toc151193832"/>
      <w:bookmarkStart w:id="90" w:name="_Toc151193760"/>
      <w:bookmarkStart w:id="91" w:name="_Toc150480756"/>
      <w:bookmarkStart w:id="92" w:name="_Toc150509269"/>
      <w:bookmarkStart w:id="93" w:name="_Toc265228356"/>
      <w:bookmarkStart w:id="94" w:name="_Toc150774723"/>
      <w:bookmarkStart w:id="95" w:name="_Toc305158786"/>
      <w:bookmarkStart w:id="96" w:name="_Toc226337214"/>
      <w:bookmarkStart w:id="97" w:name="_Toc150774618"/>
      <w:bookmarkStart w:id="98" w:name="_Toc151193906"/>
      <w:bookmarkStart w:id="99" w:name="_Toc151193616"/>
      <w:bookmarkStart w:id="100" w:name="_Toc151190145"/>
      <w:bookmarkStart w:id="101" w:name="_Toc151193688"/>
      <w:bookmarkStart w:id="102" w:name="_Toc264969208"/>
      <w:bookmarkStart w:id="103" w:name="_Toc195842883"/>
      <w:bookmarkStart w:id="104" w:name="_Toc305158860"/>
      <w:bookmarkStart w:id="105" w:name="_Toc226965791"/>
      <w:bookmarkStart w:id="106" w:name="_Toc142311020"/>
      <w:bookmarkStart w:id="107" w:name="_Toc226965708"/>
      <w:r>
        <w:rPr>
          <w:rFonts w:ascii="Times New Roman" w:hAnsi="Times New Roman" w:eastAsia="宋体"/>
          <w:sz w:val="28"/>
        </w:rPr>
        <w:t>一   说  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hAnsi="Times New Roman" w:eastAsia="宋体"/>
          <w:sz w:val="28"/>
        </w:rPr>
        <w:tab/>
      </w:r>
    </w:p>
    <w:p w14:paraId="45FD661F">
      <w:pPr>
        <w:keepNext w:val="0"/>
        <w:keepLines w:val="0"/>
        <w:pageBreakBefore w:val="0"/>
        <w:widowControl w:val="0"/>
        <w:numPr>
          <w:ilvl w:val="0"/>
          <w:numId w:val="9"/>
        </w:numPr>
        <w:tabs>
          <w:tab w:val="left" w:pos="360"/>
        </w:tabs>
        <w:spacing w:line="360" w:lineRule="auto"/>
        <w:ind w:left="0" w:firstLine="480"/>
        <w:outlineLvl w:val="1"/>
        <w:rPr>
          <w:sz w:val="24"/>
        </w:rPr>
      </w:pPr>
      <w:bookmarkStart w:id="108" w:name="_Toc305158787"/>
      <w:bookmarkStart w:id="109" w:name="_Toc264969209"/>
      <w:bookmarkStart w:id="110" w:name="_Toc265228357"/>
      <w:bookmarkStart w:id="111" w:name="_Toc305158861"/>
      <w:r>
        <w:rPr>
          <w:sz w:val="24"/>
        </w:rPr>
        <w:t>采购人、采购代理机构、供应商</w:t>
      </w:r>
      <w:bookmarkEnd w:id="108"/>
      <w:bookmarkEnd w:id="109"/>
      <w:bookmarkEnd w:id="110"/>
      <w:bookmarkEnd w:id="111"/>
      <w:r>
        <w:rPr>
          <w:sz w:val="24"/>
        </w:rPr>
        <w:t>、联合体</w:t>
      </w:r>
    </w:p>
    <w:p w14:paraId="6574EEAB">
      <w:pPr>
        <w:keepNext w:val="0"/>
        <w:keepLines w:val="0"/>
        <w:pageBreakBefore w:val="0"/>
        <w:widowControl w:val="0"/>
        <w:numPr>
          <w:ilvl w:val="1"/>
          <w:numId w:val="9"/>
        </w:numPr>
        <w:tabs>
          <w:tab w:val="left" w:pos="1080"/>
          <w:tab w:val="left" w:pos="2014"/>
          <w:tab w:val="left" w:pos="5521"/>
        </w:tabs>
        <w:spacing w:line="360" w:lineRule="auto"/>
        <w:ind w:left="0" w:firstLine="480"/>
        <w:rPr>
          <w:sz w:val="24"/>
        </w:rPr>
      </w:pPr>
      <w:r>
        <w:rPr>
          <w:sz w:val="24"/>
        </w:rPr>
        <w:t>采购人、采购代理机构：指依法进行政府采购的国家机关、事业单位、团体组织，及其委托的采购代理机构。本项目采购人、采购代理机构见第一章《采购邀请》。</w:t>
      </w:r>
    </w:p>
    <w:p w14:paraId="69F2BB42">
      <w:pPr>
        <w:keepNext w:val="0"/>
        <w:keepLines w:val="0"/>
        <w:pageBreakBefore w:val="0"/>
        <w:widowControl w:val="0"/>
        <w:numPr>
          <w:ilvl w:val="1"/>
          <w:numId w:val="9"/>
        </w:numPr>
        <w:tabs>
          <w:tab w:val="left" w:pos="1080"/>
          <w:tab w:val="left" w:pos="2014"/>
          <w:tab w:val="left" w:pos="5521"/>
        </w:tabs>
        <w:spacing w:line="360" w:lineRule="auto"/>
        <w:ind w:left="0" w:firstLine="480"/>
        <w:rPr>
          <w:sz w:val="24"/>
        </w:rPr>
      </w:pPr>
      <w:r>
        <w:rPr>
          <w:sz w:val="24"/>
        </w:rPr>
        <w:t>供应商（也称</w:t>
      </w:r>
      <w:r>
        <w:rPr>
          <w:rFonts w:hint="eastAsia"/>
          <w:sz w:val="24"/>
          <w:lang w:eastAsia="zh-CN"/>
        </w:rPr>
        <w:t>“</w:t>
      </w:r>
      <w:r>
        <w:rPr>
          <w:sz w:val="24"/>
        </w:rPr>
        <w:t>申请人</w:t>
      </w:r>
      <w:r>
        <w:rPr>
          <w:rFonts w:hint="eastAsia"/>
          <w:sz w:val="24"/>
          <w:lang w:eastAsia="zh-CN"/>
        </w:rPr>
        <w:t>”</w:t>
      </w:r>
      <w:r>
        <w:rPr>
          <w:sz w:val="24"/>
        </w:rPr>
        <w:t>）：指向采购人提供货物、工程或者服务的法人、其他组织或者自然人。</w:t>
      </w:r>
    </w:p>
    <w:p w14:paraId="438ED6ED">
      <w:pPr>
        <w:keepNext w:val="0"/>
        <w:keepLines w:val="0"/>
        <w:pageBreakBefore w:val="0"/>
        <w:widowControl w:val="0"/>
        <w:numPr>
          <w:ilvl w:val="1"/>
          <w:numId w:val="9"/>
        </w:numPr>
        <w:tabs>
          <w:tab w:val="left" w:pos="1080"/>
          <w:tab w:val="left" w:pos="2014"/>
          <w:tab w:val="left" w:pos="5521"/>
        </w:tabs>
        <w:spacing w:line="360" w:lineRule="auto"/>
        <w:ind w:left="0" w:firstLine="480"/>
        <w:rPr>
          <w:sz w:val="24"/>
        </w:rPr>
      </w:pPr>
      <w:r>
        <w:rPr>
          <w:sz w:val="24"/>
        </w:rPr>
        <w:t>联合体：指两个以上的自然人、法人或者其他组织组成一个联合体，以一个供应商的身份共同参加政府采购。</w:t>
      </w:r>
    </w:p>
    <w:p w14:paraId="2845EE8F">
      <w:pPr>
        <w:keepNext w:val="0"/>
        <w:keepLines w:val="0"/>
        <w:pageBreakBefore w:val="0"/>
        <w:widowControl w:val="0"/>
        <w:numPr>
          <w:ilvl w:val="0"/>
          <w:numId w:val="9"/>
        </w:numPr>
        <w:tabs>
          <w:tab w:val="left" w:pos="360"/>
        </w:tabs>
        <w:spacing w:line="360" w:lineRule="auto"/>
        <w:ind w:left="0" w:firstLine="480"/>
        <w:outlineLvl w:val="1"/>
        <w:rPr>
          <w:sz w:val="24"/>
        </w:rPr>
      </w:pPr>
      <w:bookmarkStart w:id="112" w:name="_Toc265228358"/>
      <w:bookmarkStart w:id="113" w:name="_Toc151193834"/>
      <w:bookmarkStart w:id="114" w:name="_Toc164608789"/>
      <w:bookmarkStart w:id="115" w:name="_Toc142311022"/>
      <w:bookmarkStart w:id="116" w:name="_Toc264969210"/>
      <w:bookmarkStart w:id="117" w:name="_Toc150480758"/>
      <w:bookmarkStart w:id="118" w:name="_Toc305158788"/>
      <w:bookmarkStart w:id="119" w:name="_Toc127161434"/>
      <w:bookmarkStart w:id="120" w:name="_Toc150774620"/>
      <w:bookmarkStart w:id="121" w:name="_Toc164608634"/>
      <w:bookmarkStart w:id="122" w:name="_Toc151193908"/>
      <w:bookmarkStart w:id="123" w:name="_Toc151193762"/>
      <w:bookmarkStart w:id="124" w:name="_Toc164229361"/>
      <w:bookmarkStart w:id="125" w:name="_Toc226337216"/>
      <w:bookmarkStart w:id="126" w:name="_Toc226965710"/>
      <w:bookmarkStart w:id="127" w:name="_Toc151190147"/>
      <w:bookmarkStart w:id="128" w:name="_Toc151193690"/>
      <w:bookmarkStart w:id="129" w:name="_Toc149720813"/>
      <w:bookmarkStart w:id="130" w:name="_Toc127151721"/>
      <w:bookmarkStart w:id="131" w:name="_Toc150509271"/>
      <w:bookmarkStart w:id="132" w:name="_Toc164351614"/>
      <w:bookmarkStart w:id="133" w:name="_Toc164229215"/>
      <w:bookmarkStart w:id="134" w:name="_Toc150774725"/>
      <w:bookmarkStart w:id="135" w:name="_Toc127151520"/>
      <w:bookmarkStart w:id="136" w:name="_Toc151193618"/>
      <w:bookmarkStart w:id="137" w:name="_Toc226309764"/>
      <w:bookmarkStart w:id="138" w:name="_Toc195842885"/>
      <w:bookmarkStart w:id="139" w:name="_Toc226965793"/>
      <w:bookmarkStart w:id="140" w:name="_Toc305158862"/>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w:t>
      </w:r>
    </w:p>
    <w:p w14:paraId="37C6DA5B">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资金来源为财政性资金和/或本项目采购中无法与财政性资金分割的非财政性资金。</w:t>
      </w:r>
    </w:p>
    <w:p w14:paraId="2CA002D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项目属性见《供应商须知资料表》。</w:t>
      </w:r>
    </w:p>
    <w:p w14:paraId="43CDDD23">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是否属于科研仪器设备采购见《供应商须知资料表》。</w:t>
      </w:r>
    </w:p>
    <w:p w14:paraId="0518AEE4">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现场考察、磋商前答疑会</w:t>
      </w:r>
    </w:p>
    <w:p w14:paraId="388C64C5">
      <w:pPr>
        <w:keepNext w:val="0"/>
        <w:keepLines w:val="0"/>
        <w:pageBreakBefore w:val="0"/>
        <w:widowControl w:val="0"/>
        <w:numPr>
          <w:ilvl w:val="1"/>
          <w:numId w:val="9"/>
        </w:numPr>
        <w:tabs>
          <w:tab w:val="left" w:pos="1080"/>
          <w:tab w:val="left" w:pos="2014"/>
        </w:tabs>
        <w:spacing w:line="360" w:lineRule="auto"/>
        <w:ind w:left="0" w:firstLine="480"/>
        <w:rPr>
          <w:sz w:val="28"/>
        </w:rPr>
      </w:pPr>
      <w:r>
        <w:rPr>
          <w:sz w:val="24"/>
        </w:rPr>
        <w:t>若《供应商须知资料表》中规定了组织现场考察、召开磋商前答疑会，则供应商应按要求在规定的时间和地点参加。</w:t>
      </w:r>
      <w:bookmarkStart w:id="141" w:name="_Toc265228360"/>
      <w:bookmarkStart w:id="142" w:name="_Toc150774622"/>
      <w:bookmarkStart w:id="143" w:name="_Toc151190149"/>
      <w:bookmarkStart w:id="144" w:name="_Toc195842887"/>
      <w:bookmarkStart w:id="145" w:name="_Toc305158790"/>
      <w:bookmarkStart w:id="146" w:name="_Toc151193764"/>
      <w:bookmarkStart w:id="147" w:name="_Toc264969212"/>
      <w:bookmarkStart w:id="148" w:name="_Toc151193836"/>
      <w:bookmarkStart w:id="149" w:name="_Toc127151522"/>
      <w:bookmarkStart w:id="150" w:name="_Toc151193692"/>
      <w:bookmarkStart w:id="151" w:name="_Toc150480760"/>
      <w:bookmarkStart w:id="152" w:name="_Toc151193910"/>
      <w:bookmarkStart w:id="153" w:name="_Toc151193620"/>
      <w:bookmarkStart w:id="154" w:name="_Toc226965712"/>
      <w:bookmarkStart w:id="155" w:name="_Toc150774727"/>
      <w:bookmarkStart w:id="156" w:name="_Toc142311024"/>
      <w:bookmarkStart w:id="157" w:name="_Toc226337218"/>
      <w:bookmarkStart w:id="158" w:name="_Toc305158864"/>
      <w:bookmarkStart w:id="159" w:name="_Toc226309766"/>
      <w:bookmarkStart w:id="160" w:name="_Toc150509273"/>
      <w:bookmarkStart w:id="161" w:name="_Toc226965795"/>
      <w:bookmarkStart w:id="162" w:name="_Toc520356146"/>
    </w:p>
    <w:p w14:paraId="7FBF3771">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由于未参加现场考察或磋商前答疑会而导致对项目实际情况不了解，影响响应文件编制、报价准确性、综合因素响应不全面等问题的，由供应商自行承担不利评审后果。</w:t>
      </w:r>
    </w:p>
    <w:p w14:paraId="59DF38F1">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政府采购政策（包括但不限于下列具体政策要求）</w:t>
      </w:r>
    </w:p>
    <w:p w14:paraId="44B610CC">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进口产品</w:t>
      </w:r>
    </w:p>
    <w:p w14:paraId="6902ECA5">
      <w:pPr>
        <w:keepNext w:val="0"/>
        <w:keepLines w:val="0"/>
        <w:pageBreakBefore w:val="0"/>
        <w:widowControl w:val="0"/>
        <w:numPr>
          <w:ilvl w:val="2"/>
          <w:numId w:val="9"/>
        </w:numPr>
        <w:tabs>
          <w:tab w:val="left" w:pos="2014"/>
        </w:tabs>
        <w:spacing w:line="360" w:lineRule="auto"/>
        <w:ind w:left="0" w:firstLine="480"/>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45E65AE">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中小企业、监狱企业及残疾人福利性单位</w:t>
      </w:r>
    </w:p>
    <w:p w14:paraId="1FD7D62B">
      <w:pPr>
        <w:keepNext w:val="0"/>
        <w:keepLines w:val="0"/>
        <w:pageBreakBefore w:val="0"/>
        <w:widowControl w:val="0"/>
        <w:numPr>
          <w:ilvl w:val="2"/>
          <w:numId w:val="9"/>
        </w:numPr>
        <w:spacing w:line="360" w:lineRule="auto"/>
        <w:ind w:left="0" w:firstLine="480"/>
        <w:rPr>
          <w:sz w:val="24"/>
        </w:rPr>
      </w:pPr>
      <w:r>
        <w:rPr>
          <w:sz w:val="24"/>
        </w:rPr>
        <w:t>中小企业定义：</w:t>
      </w:r>
    </w:p>
    <w:p w14:paraId="70A70B49">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color w:val="000000"/>
          <w:sz w:val="24"/>
        </w:rPr>
        <w:t>4.2.1.1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75D5A806">
      <w:pPr>
        <w:keepNext w:val="0"/>
        <w:keepLines w:val="0"/>
        <w:pageBreakBefore w:val="0"/>
        <w:widowControl w:val="0"/>
        <w:tabs>
          <w:tab w:val="left" w:pos="1980"/>
          <w:tab w:val="left" w:pos="2035"/>
          <w:tab w:val="left" w:pos="2885"/>
          <w:tab w:val="left" w:pos="2977"/>
        </w:tabs>
        <w:spacing w:line="360" w:lineRule="auto"/>
        <w:ind w:left="0" w:firstLine="0"/>
        <w:rPr>
          <w:color w:val="000000"/>
          <w:sz w:val="24"/>
        </w:rPr>
      </w:pPr>
      <w:r>
        <w:rPr>
          <w:sz w:val="24"/>
        </w:rPr>
        <w:t xml:space="preserve">    4.2.1.2供应商提供的货物、工程或者服务符合下列情形的，享受中小企业扶持政策：</w:t>
      </w:r>
    </w:p>
    <w:p w14:paraId="183652EF">
      <w:pPr>
        <w:keepNext w:val="0"/>
        <w:keepLines w:val="0"/>
        <w:pageBreakBefore w:val="0"/>
        <w:widowControl w:val="0"/>
        <w:tabs>
          <w:tab w:val="left" w:pos="1980"/>
        </w:tabs>
        <w:spacing w:line="360" w:lineRule="auto"/>
        <w:ind w:left="0" w:firstLine="480"/>
        <w:rPr>
          <w:color w:val="000000"/>
          <w:sz w:val="24"/>
        </w:rPr>
      </w:pPr>
      <w:r>
        <w:rPr>
          <w:color w:val="000000"/>
          <w:sz w:val="24"/>
        </w:rPr>
        <w:t>（1）在货物采购项目中，货物由中小企业制造，即货物由中小企业生产且使用该中小企业商号或者注册商标；</w:t>
      </w:r>
    </w:p>
    <w:p w14:paraId="6344E13B">
      <w:pPr>
        <w:keepNext w:val="0"/>
        <w:keepLines w:val="0"/>
        <w:pageBreakBefore w:val="0"/>
        <w:widowControl w:val="0"/>
        <w:tabs>
          <w:tab w:val="left" w:pos="1980"/>
        </w:tabs>
        <w:spacing w:line="360" w:lineRule="auto"/>
        <w:ind w:left="0" w:firstLine="480"/>
        <w:rPr>
          <w:color w:val="000000"/>
          <w:sz w:val="24"/>
        </w:rPr>
      </w:pPr>
      <w:r>
        <w:rPr>
          <w:color w:val="000000"/>
          <w:sz w:val="24"/>
        </w:rPr>
        <w:t>（2）在工程采购项目中，工程由中小企业承建，即工程施工单位为中小企业；</w:t>
      </w:r>
    </w:p>
    <w:p w14:paraId="6187C94E">
      <w:pPr>
        <w:keepNext w:val="0"/>
        <w:keepLines w:val="0"/>
        <w:pageBreakBefore w:val="0"/>
        <w:widowControl w:val="0"/>
        <w:tabs>
          <w:tab w:val="left" w:pos="1980"/>
        </w:tabs>
        <w:spacing w:line="360" w:lineRule="auto"/>
        <w:ind w:left="0" w:firstLine="480"/>
        <w:rPr>
          <w:color w:val="000000"/>
          <w:sz w:val="24"/>
        </w:rPr>
      </w:pPr>
      <w:r>
        <w:rPr>
          <w:color w:val="000000"/>
          <w:sz w:val="24"/>
        </w:rPr>
        <w:t>（3）在服务采购项目中，服务由中小企业承接，即提供服务的人员为中小企业依照《中华人民共和国劳动合同法》订立劳动合同的从业人员。</w:t>
      </w:r>
    </w:p>
    <w:p w14:paraId="089B5737">
      <w:pPr>
        <w:keepNext w:val="0"/>
        <w:keepLines w:val="0"/>
        <w:pageBreakBefore w:val="0"/>
        <w:widowControl w:val="0"/>
        <w:tabs>
          <w:tab w:val="left" w:pos="1980"/>
          <w:tab w:val="left" w:pos="2035"/>
          <w:tab w:val="left" w:pos="2885"/>
          <w:tab w:val="left" w:pos="2977"/>
        </w:tabs>
        <w:spacing w:line="360" w:lineRule="auto"/>
        <w:ind w:left="480" w:firstLine="0"/>
        <w:rPr>
          <w:sz w:val="24"/>
        </w:rPr>
      </w:pPr>
      <w:r>
        <w:rPr>
          <w:sz w:val="24"/>
        </w:rPr>
        <w:t>4.2.1.3在货物采购项目中，供应商提供的货物既有中小企业制造货物，也有大型企业制造货物的，不享受中小企业扶持政策。</w:t>
      </w:r>
    </w:p>
    <w:p w14:paraId="084E7EE3">
      <w:pPr>
        <w:keepNext w:val="0"/>
        <w:keepLines w:val="0"/>
        <w:pageBreakBefore w:val="0"/>
        <w:widowControl w:val="0"/>
        <w:tabs>
          <w:tab w:val="left" w:pos="1980"/>
          <w:tab w:val="left" w:pos="2035"/>
          <w:tab w:val="left" w:pos="2885"/>
          <w:tab w:val="left" w:pos="2977"/>
        </w:tabs>
        <w:spacing w:line="360" w:lineRule="auto"/>
        <w:ind w:left="480" w:firstLine="0"/>
        <w:rPr>
          <w:sz w:val="24"/>
        </w:rPr>
      </w:pPr>
      <w:r>
        <w:rPr>
          <w:color w:val="000000"/>
          <w:sz w:val="24"/>
        </w:rPr>
        <w:t>4.2.1.4以联合体形式参加政府采购活动，联合体各方均为中小企业的，联合体视同中小企业。其中，联合体各方均为小微企业的，联合体视同小微企业。</w:t>
      </w:r>
    </w:p>
    <w:p w14:paraId="637004AD">
      <w:pPr>
        <w:keepNext w:val="0"/>
        <w:keepLines w:val="0"/>
        <w:pageBreakBefore w:val="0"/>
        <w:widowControl w:val="0"/>
        <w:numPr>
          <w:ilvl w:val="2"/>
          <w:numId w:val="9"/>
        </w:numPr>
        <w:spacing w:line="360" w:lineRule="auto"/>
        <w:ind w:left="0" w:firstLine="480"/>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CEA1C6A">
      <w:pPr>
        <w:keepNext w:val="0"/>
        <w:keepLines w:val="0"/>
        <w:pageBreakBefore w:val="0"/>
        <w:widowControl w:val="0"/>
        <w:numPr>
          <w:ilvl w:val="2"/>
          <w:numId w:val="9"/>
        </w:numPr>
        <w:spacing w:line="360" w:lineRule="auto"/>
        <w:ind w:left="0" w:firstLine="480"/>
        <w:rPr>
          <w:sz w:val="24"/>
        </w:rPr>
      </w:pPr>
      <w:r>
        <w:rPr>
          <w:sz w:val="24"/>
        </w:rPr>
        <w:t>残疾人福利单位定义：享受政府采购支持政策的残疾人福利性单位应当同时满足以下条件：</w:t>
      </w:r>
    </w:p>
    <w:p w14:paraId="3BF0DC53">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color w:val="000000"/>
          <w:sz w:val="24"/>
        </w:rPr>
        <w:t>4.2.3.1安置的残疾人占本单位在职职工人数的比例不低于25%（含25%），并且安置的残疾人人数不少于10 人（含10 人）；</w:t>
      </w:r>
    </w:p>
    <w:p w14:paraId="540E58FC">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sz w:val="24"/>
        </w:rPr>
        <w:t>4.2.3.2依法与安置的每位残疾人签订了一年以上（含一年）的劳动合同或服务协议；</w:t>
      </w:r>
    </w:p>
    <w:p w14:paraId="088BB76C">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sz w:val="24"/>
        </w:rPr>
        <w:t>4.2.3.3为安置的每位残疾人按月足额缴纳了基本养老保险、基本医疗保险、失业保险、工伤保险和生育保险等社会保险费；</w:t>
      </w:r>
    </w:p>
    <w:p w14:paraId="6195E443">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sz w:val="24"/>
        </w:rPr>
        <w:t>4.2.3.4通过银行等金融机构向安置的每位残疾人，按月支付了不低于单位所在区县适用的经省级人民政府批准的月最低工资标准的工资；</w:t>
      </w:r>
    </w:p>
    <w:p w14:paraId="469A4365">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sz w:val="24"/>
        </w:rPr>
        <w:t>4.2.3.5提供本单位制造的货物、承担的工程或者服务（以下简称产品），或者提供其他残疾人福利性单位制造的货物（不包括使用非残疾人福利性单位注册商标的货物）；</w:t>
      </w:r>
    </w:p>
    <w:p w14:paraId="435A6ABA">
      <w:pPr>
        <w:keepNext w:val="0"/>
        <w:keepLines w:val="0"/>
        <w:pageBreakBefore w:val="0"/>
        <w:widowControl w:val="0"/>
        <w:tabs>
          <w:tab w:val="left" w:pos="1980"/>
          <w:tab w:val="left" w:pos="2035"/>
          <w:tab w:val="left" w:pos="2885"/>
          <w:tab w:val="left" w:pos="2977"/>
        </w:tabs>
        <w:spacing w:line="360" w:lineRule="auto"/>
        <w:ind w:left="480" w:firstLine="0"/>
        <w:rPr>
          <w:color w:val="000000"/>
          <w:sz w:val="24"/>
        </w:rPr>
      </w:pPr>
      <w:r>
        <w:rPr>
          <w:sz w:val="24"/>
        </w:rPr>
        <w:t>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AE4F93A">
      <w:pPr>
        <w:keepNext w:val="0"/>
        <w:keepLines w:val="0"/>
        <w:pageBreakBefore w:val="0"/>
        <w:widowControl w:val="0"/>
        <w:numPr>
          <w:ilvl w:val="2"/>
          <w:numId w:val="9"/>
        </w:numPr>
        <w:spacing w:line="360" w:lineRule="auto"/>
        <w:ind w:left="0" w:firstLine="480"/>
        <w:rPr>
          <w:sz w:val="24"/>
        </w:rPr>
      </w:pPr>
      <w:r>
        <w:rPr>
          <w:sz w:val="24"/>
        </w:rPr>
        <w:t>本项目是否专门面向中小企业预留采购份额见第一章《采购邀请》。</w:t>
      </w:r>
    </w:p>
    <w:p w14:paraId="561215F8">
      <w:pPr>
        <w:keepNext w:val="0"/>
        <w:keepLines w:val="0"/>
        <w:pageBreakBefore w:val="0"/>
        <w:widowControl w:val="0"/>
        <w:numPr>
          <w:ilvl w:val="2"/>
          <w:numId w:val="9"/>
        </w:numPr>
        <w:spacing w:line="360" w:lineRule="auto"/>
        <w:ind w:left="0" w:firstLine="480"/>
        <w:rPr>
          <w:sz w:val="24"/>
        </w:rPr>
      </w:pPr>
      <w:r>
        <w:rPr>
          <w:sz w:val="24"/>
        </w:rPr>
        <w:t>采购标的对应的中小企业划分标准所属行业见《供应商须知资料表》。</w:t>
      </w:r>
    </w:p>
    <w:p w14:paraId="4300BC5D">
      <w:pPr>
        <w:keepNext w:val="0"/>
        <w:keepLines w:val="0"/>
        <w:pageBreakBefore w:val="0"/>
        <w:widowControl w:val="0"/>
        <w:numPr>
          <w:ilvl w:val="2"/>
          <w:numId w:val="9"/>
        </w:numPr>
        <w:spacing w:line="360" w:lineRule="auto"/>
        <w:ind w:left="0" w:firstLine="480"/>
        <w:rPr>
          <w:sz w:val="24"/>
        </w:rPr>
      </w:pPr>
      <w:r>
        <w:rPr>
          <w:sz w:val="24"/>
        </w:rPr>
        <w:t>小微企业价格评审优惠的政策调整：见第三章《评审方法和评审标准》。</w:t>
      </w:r>
    </w:p>
    <w:p w14:paraId="45BA527B">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政府采购节能产品、环境标志产品</w:t>
      </w:r>
    </w:p>
    <w:p w14:paraId="1057DB72">
      <w:pPr>
        <w:keepNext w:val="0"/>
        <w:keepLines w:val="0"/>
        <w:pageBreakBefore w:val="0"/>
        <w:widowControl w:val="0"/>
        <w:numPr>
          <w:ilvl w:val="2"/>
          <w:numId w:val="9"/>
        </w:numPr>
        <w:spacing w:line="360" w:lineRule="auto"/>
        <w:ind w:left="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631D738">
      <w:pPr>
        <w:keepNext w:val="0"/>
        <w:keepLines w:val="0"/>
        <w:pageBreakBefore w:val="0"/>
        <w:widowControl w:val="0"/>
        <w:numPr>
          <w:ilvl w:val="2"/>
          <w:numId w:val="9"/>
        </w:numPr>
        <w:spacing w:line="360" w:lineRule="auto"/>
        <w:ind w:left="0" w:firstLine="480"/>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11ED34BC">
      <w:pPr>
        <w:keepNext w:val="0"/>
        <w:keepLines w:val="0"/>
        <w:pageBreakBefore w:val="0"/>
        <w:widowControl w:val="0"/>
        <w:numPr>
          <w:ilvl w:val="2"/>
          <w:numId w:val="9"/>
        </w:numPr>
        <w:spacing w:line="360" w:lineRule="auto"/>
        <w:ind w:left="0" w:firstLine="480"/>
        <w:rPr>
          <w:sz w:val="24"/>
        </w:rPr>
      </w:pPr>
      <w:r>
        <w:rPr>
          <w:sz w:val="24"/>
        </w:rPr>
        <w:t>如本项目采购产品属于实施政府强制采购品目清单范围的节能产品，则供应商所报产品必须获得国家确定的认证机构出具的、处于有效期之内的节能产品认证证书，否则</w:t>
      </w:r>
      <w:r>
        <w:rPr>
          <w:b/>
          <w:sz w:val="24"/>
        </w:rPr>
        <w:t>响应无效</w:t>
      </w:r>
      <w:r>
        <w:rPr>
          <w:sz w:val="24"/>
        </w:rPr>
        <w:t>；</w:t>
      </w:r>
    </w:p>
    <w:p w14:paraId="65176893">
      <w:pPr>
        <w:keepNext w:val="0"/>
        <w:keepLines w:val="0"/>
        <w:pageBreakBefore w:val="0"/>
        <w:widowControl w:val="0"/>
        <w:numPr>
          <w:ilvl w:val="2"/>
          <w:numId w:val="9"/>
        </w:numPr>
        <w:spacing w:line="360" w:lineRule="auto"/>
        <w:ind w:left="0" w:firstLine="480"/>
        <w:rPr>
          <w:rFonts w:hint="eastAsia"/>
          <w:sz w:val="24"/>
        </w:rPr>
      </w:pPr>
      <w:r>
        <w:rPr>
          <w:sz w:val="24"/>
        </w:rPr>
        <w:t>非政府强制采购的节能产品或环境标志产品，依据品目清单和认证证书实施政府优先采购。优先采购的具体规定见第三章《评审方法和评审标准》（如涉及）。</w:t>
      </w:r>
    </w:p>
    <w:p w14:paraId="4E536BAD">
      <w:pPr>
        <w:keepNext w:val="0"/>
        <w:keepLines w:val="0"/>
        <w:pageBreakBefore w:val="0"/>
        <w:widowControl w:val="0"/>
        <w:numPr>
          <w:ilvl w:val="2"/>
          <w:numId w:val="9"/>
        </w:numPr>
        <w:tabs>
          <w:tab w:val="left" w:pos="2014"/>
        </w:tabs>
        <w:spacing w:line="360" w:lineRule="auto"/>
        <w:ind w:left="0" w:firstLine="480"/>
        <w:rPr>
          <w:sz w:val="24"/>
        </w:rPr>
      </w:pPr>
      <w:r>
        <w:rPr>
          <w:rFonts w:hint="eastAsia"/>
          <w:sz w:val="24"/>
        </w:rPr>
        <w:t>依据</w:t>
      </w:r>
      <w:r>
        <w:rPr>
          <w:sz w:val="24"/>
        </w:rPr>
        <w:t>《关于印发〈商品包装政府采购需求标准（试行）〉、〈快递包装政府采购需求标准（试行）〉的通知》（财办库〔2020〕123号）</w:t>
      </w:r>
      <w:r>
        <w:rPr>
          <w:rFonts w:hint="eastAsia"/>
          <w:sz w:val="24"/>
        </w:rPr>
        <w:t>文件</w:t>
      </w:r>
      <w:r>
        <w:rPr>
          <w:sz w:val="24"/>
        </w:rPr>
        <w:t>精神</w:t>
      </w:r>
      <w:r>
        <w:rPr>
          <w:rFonts w:hint="eastAsia"/>
          <w:sz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ED12A71">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支持乡村产业振兴管理</w:t>
      </w:r>
    </w:p>
    <w:p w14:paraId="2629D852">
      <w:pPr>
        <w:keepNext w:val="0"/>
        <w:keepLines w:val="0"/>
        <w:pageBreakBefore w:val="0"/>
        <w:widowControl w:val="0"/>
        <w:numPr>
          <w:ilvl w:val="2"/>
          <w:numId w:val="9"/>
        </w:numPr>
        <w:tabs>
          <w:tab w:val="left" w:pos="2014"/>
        </w:tabs>
        <w:spacing w:line="360" w:lineRule="auto"/>
        <w:ind w:left="0" w:firstLine="480"/>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14:paraId="5E0727F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正版软件</w:t>
      </w:r>
    </w:p>
    <w:p w14:paraId="4189CE3D">
      <w:pPr>
        <w:keepNext w:val="0"/>
        <w:keepLines w:val="0"/>
        <w:pageBreakBefore w:val="0"/>
        <w:widowControl w:val="0"/>
        <w:numPr>
          <w:ilvl w:val="2"/>
          <w:numId w:val="9"/>
        </w:numPr>
        <w:spacing w:line="360" w:lineRule="auto"/>
        <w:ind w:left="0" w:firstLine="480"/>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b/>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w:t>
      </w:r>
      <w:r>
        <w:rPr>
          <w:rFonts w:hint="eastAsia"/>
          <w:sz w:val="24"/>
          <w:lang w:eastAsia="zh-CN"/>
        </w:rPr>
        <w:t>“</w:t>
      </w:r>
      <w:r>
        <w:rPr>
          <w:sz w:val="24"/>
        </w:rPr>
        <w:t>无线局域网认证产品政府采购清单</w:t>
      </w:r>
      <w:r>
        <w:rPr>
          <w:rFonts w:hint="eastAsia"/>
          <w:sz w:val="24"/>
          <w:lang w:eastAsia="zh-CN"/>
        </w:rPr>
        <w:t>”</w:t>
      </w:r>
      <w:r>
        <w:rPr>
          <w:sz w:val="24"/>
        </w:rPr>
        <w:t>（以下简称清单）的形式公布。清单中新增认证产品厂商和型号，由财政部、国家发展改革委、信息产业部以文件形式确定、公布并适时调整。</w:t>
      </w:r>
    </w:p>
    <w:p w14:paraId="4588E2C6">
      <w:pPr>
        <w:keepNext w:val="0"/>
        <w:keepLines w:val="0"/>
        <w:pageBreakBefore w:val="0"/>
        <w:widowControl w:val="0"/>
        <w:numPr>
          <w:ilvl w:val="2"/>
          <w:numId w:val="9"/>
        </w:numPr>
        <w:spacing w:line="360" w:lineRule="auto"/>
        <w:ind w:left="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04FE8BCB">
      <w:pPr>
        <w:keepNext w:val="0"/>
        <w:keepLines w:val="0"/>
        <w:pageBreakBefore w:val="0"/>
        <w:widowControl w:val="0"/>
        <w:numPr>
          <w:ilvl w:val="1"/>
          <w:numId w:val="9"/>
        </w:numPr>
        <w:tabs>
          <w:tab w:val="left" w:pos="1080"/>
          <w:tab w:val="left" w:pos="2014"/>
        </w:tabs>
        <w:spacing w:line="360" w:lineRule="auto"/>
        <w:ind w:left="0" w:firstLine="480"/>
        <w:rPr>
          <w:rFonts w:hint="eastAsia"/>
          <w:sz w:val="24"/>
        </w:rPr>
      </w:pPr>
      <w:r>
        <w:rPr>
          <w:rFonts w:hint="eastAsia"/>
          <w:sz w:val="24"/>
        </w:rPr>
        <w:t>政府采购创新产品政策</w:t>
      </w:r>
    </w:p>
    <w:p w14:paraId="59516A84">
      <w:pPr>
        <w:keepNext w:val="0"/>
        <w:keepLines w:val="0"/>
        <w:pageBreakBefore w:val="0"/>
        <w:widowControl w:val="0"/>
        <w:numPr>
          <w:ilvl w:val="2"/>
          <w:numId w:val="9"/>
        </w:numPr>
        <w:tabs>
          <w:tab w:val="left" w:pos="2014"/>
        </w:tabs>
        <w:spacing w:line="360" w:lineRule="auto"/>
        <w:ind w:left="0" w:firstLine="480"/>
        <w:rPr>
          <w:rFonts w:hint="eastAsia"/>
          <w:sz w:val="24"/>
        </w:rPr>
      </w:pPr>
      <w:r>
        <w:rPr>
          <w:rFonts w:hint="eastAsia"/>
          <w:sz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68F7FFB">
      <w:pPr>
        <w:keepNext w:val="0"/>
        <w:keepLines w:val="0"/>
        <w:pageBreakBefore w:val="0"/>
        <w:widowControl w:val="0"/>
        <w:numPr>
          <w:ilvl w:val="1"/>
          <w:numId w:val="9"/>
        </w:numPr>
        <w:tabs>
          <w:tab w:val="left" w:pos="1080"/>
          <w:tab w:val="left" w:pos="2014"/>
        </w:tabs>
        <w:spacing w:line="360" w:lineRule="auto"/>
        <w:ind w:left="0" w:firstLine="480"/>
        <w:rPr>
          <w:rFonts w:hint="eastAsia" w:ascii="Times New Roman" w:hAnsi="Times New Roman" w:eastAsia="宋体" w:cs="Times New Roman"/>
          <w:sz w:val="24"/>
        </w:rPr>
      </w:pPr>
      <w:r>
        <w:rPr>
          <w:rFonts w:hint="eastAsia" w:ascii="Times New Roman" w:hAnsi="Times New Roman" w:eastAsia="宋体" w:cs="Times New Roman"/>
          <w:sz w:val="24"/>
        </w:rPr>
        <w:t xml:space="preserve"> 绿色采购政策</w:t>
      </w:r>
    </w:p>
    <w:p w14:paraId="1032C34C">
      <w:pPr>
        <w:keepNext w:val="0"/>
        <w:keepLines w:val="0"/>
        <w:pageBreakBefore w:val="0"/>
        <w:widowControl w:val="0"/>
        <w:numPr>
          <w:ilvl w:val="2"/>
          <w:numId w:val="9"/>
        </w:numPr>
        <w:tabs>
          <w:tab w:val="left" w:pos="2014"/>
        </w:tabs>
        <w:spacing w:line="360" w:lineRule="auto"/>
        <w:ind w:left="0" w:firstLine="480"/>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 </w:t>
      </w:r>
    </w:p>
    <w:p w14:paraId="7EC9A75B">
      <w:pPr>
        <w:keepNext w:val="0"/>
        <w:keepLines w:val="0"/>
        <w:pageBreakBefore w:val="0"/>
        <w:widowControl w:val="0"/>
        <w:spacing w:line="360" w:lineRule="auto"/>
        <w:ind w:left="0" w:firstLine="480"/>
        <w:rPr>
          <w:rFonts w:ascii="宋体" w:hAnsi="宋体"/>
          <w:sz w:val="24"/>
        </w:rPr>
      </w:pPr>
      <w:r>
        <w:rPr>
          <w:rFonts w:hint="eastAsia" w:ascii="宋体" w:hAnsi="宋体"/>
          <w:sz w:val="24"/>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DA5A462">
      <w:pPr>
        <w:keepNext w:val="0"/>
        <w:keepLines w:val="0"/>
        <w:pageBreakBefore w:val="0"/>
        <w:widowControl w:val="0"/>
        <w:numPr>
          <w:ilvl w:val="2"/>
          <w:numId w:val="9"/>
        </w:numPr>
        <w:tabs>
          <w:tab w:val="left" w:pos="2014"/>
        </w:tabs>
        <w:spacing w:line="360" w:lineRule="auto"/>
        <w:ind w:left="0" w:firstLine="480"/>
        <w:rPr>
          <w:rFonts w:hint="eastAsia" w:ascii="Times New Roman" w:hAnsi="Times New Roman" w:eastAsia="宋体" w:cs="Times New Roman"/>
          <w:sz w:val="24"/>
        </w:rPr>
      </w:pPr>
      <w:r>
        <w:rPr>
          <w:rFonts w:hint="eastAsia" w:ascii="Times New Roman" w:hAnsi="Times New Roman" w:eastAsia="宋体" w:cs="Times New Roman"/>
          <w:sz w:val="24"/>
        </w:rPr>
        <w:t>推广应用绿色建材</w:t>
      </w:r>
    </w:p>
    <w:p w14:paraId="460A5818">
      <w:pPr>
        <w:keepNext w:val="0"/>
        <w:keepLines w:val="0"/>
        <w:pageBreakBefore w:val="0"/>
        <w:widowControl w:val="0"/>
        <w:spacing w:line="360" w:lineRule="auto"/>
        <w:ind w:left="0" w:firstLine="48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3A3CA53A">
      <w:pPr>
        <w:keepNext w:val="0"/>
        <w:keepLines w:val="0"/>
        <w:pageBreakBefore w:val="0"/>
        <w:widowControl w:val="0"/>
        <w:numPr>
          <w:ilvl w:val="2"/>
          <w:numId w:val="9"/>
        </w:numPr>
        <w:tabs>
          <w:tab w:val="left" w:pos="2014"/>
        </w:tabs>
        <w:spacing w:line="360" w:lineRule="auto"/>
        <w:ind w:left="0" w:firstLine="480"/>
        <w:rPr>
          <w:rFonts w:hint="eastAsia" w:ascii="Times New Roman" w:hAnsi="Times New Roman" w:eastAsia="宋体" w:cs="Times New Roman"/>
          <w:sz w:val="24"/>
        </w:rPr>
      </w:pPr>
      <w:r>
        <w:rPr>
          <w:rFonts w:hint="eastAsia" w:ascii="Times New Roman" w:hAnsi="Times New Roman" w:eastAsia="宋体" w:cs="Times New Roman"/>
          <w:sz w:val="24"/>
        </w:rPr>
        <w:t>优先使用低挥发性有机化合物产品</w:t>
      </w:r>
    </w:p>
    <w:p w14:paraId="5A534894">
      <w:pPr>
        <w:keepNext w:val="0"/>
        <w:keepLines w:val="0"/>
        <w:pageBreakBefore w:val="0"/>
        <w:widowControl w:val="0"/>
        <w:tabs>
          <w:tab w:val="left" w:pos="2014"/>
        </w:tabs>
        <w:spacing w:line="360" w:lineRule="auto"/>
        <w:ind w:left="0" w:firstLine="480"/>
        <w:rPr>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50734C91">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响应费用</w:t>
      </w:r>
    </w:p>
    <w:p w14:paraId="7EE8FEDE">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供应商应自行承担所有与准备和参加磋商有关的费用，无论磋商的结果如何，采购人或采购代理机构在任何情况下均无承担这些费用的义务和责任。</w:t>
      </w:r>
    </w:p>
    <w:p w14:paraId="04F16D60">
      <w:pPr>
        <w:tabs>
          <w:tab w:val="left" w:pos="1080"/>
        </w:tabs>
        <w:spacing w:line="360" w:lineRule="auto"/>
        <w:ind w:left="1080"/>
        <w:rPr>
          <w:sz w:val="28"/>
        </w:rPr>
      </w:pPr>
      <w:bookmarkStart w:id="163" w:name="_1.8_计量单位"/>
      <w:bookmarkEnd w:id="163"/>
    </w:p>
    <w:p w14:paraId="44E5D805">
      <w:pPr>
        <w:pStyle w:val="184"/>
        <w:spacing w:before="0" w:line="360" w:lineRule="auto"/>
        <w:rPr>
          <w:rFonts w:ascii="Times New Roman" w:hAnsi="Times New Roman" w:eastAsia="宋体"/>
          <w:sz w:val="28"/>
        </w:rPr>
      </w:pPr>
      <w:r>
        <w:rPr>
          <w:rFonts w:ascii="Times New Roman" w:hAnsi="Times New Roman" w:eastAsia="宋体"/>
          <w:sz w:val="28"/>
        </w:rPr>
        <w:t>二   竞争性磋商文件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58D59561">
      <w:pPr>
        <w:keepNext w:val="0"/>
        <w:keepLines w:val="0"/>
        <w:pageBreakBefore w:val="0"/>
        <w:widowControl w:val="0"/>
        <w:numPr>
          <w:ilvl w:val="0"/>
          <w:numId w:val="9"/>
        </w:numPr>
        <w:tabs>
          <w:tab w:val="left" w:pos="360"/>
        </w:tabs>
        <w:spacing w:line="360" w:lineRule="auto"/>
        <w:ind w:left="0" w:firstLine="480"/>
        <w:outlineLvl w:val="1"/>
        <w:rPr>
          <w:sz w:val="24"/>
        </w:rPr>
      </w:pPr>
      <w:bookmarkStart w:id="164" w:name="_Toc226965713"/>
      <w:bookmarkStart w:id="165" w:name="_Toc164229218"/>
      <w:bookmarkStart w:id="166" w:name="_Toc150774728"/>
      <w:bookmarkStart w:id="167" w:name="_Toc265228361"/>
      <w:bookmarkStart w:id="168" w:name="_Toc151193693"/>
      <w:bookmarkStart w:id="169" w:name="_Toc305158791"/>
      <w:bookmarkStart w:id="170" w:name="_Toc127151523"/>
      <w:bookmarkStart w:id="171" w:name="_Toc305158865"/>
      <w:bookmarkStart w:id="172" w:name="_Toc164608637"/>
      <w:bookmarkStart w:id="173" w:name="_Toc164229364"/>
      <w:bookmarkStart w:id="174" w:name="_Toc150509274"/>
      <w:bookmarkStart w:id="175" w:name="_Toc520356147"/>
      <w:bookmarkStart w:id="176" w:name="_Toc164351617"/>
      <w:bookmarkStart w:id="177" w:name="_Toc151193765"/>
      <w:bookmarkStart w:id="178" w:name="_Toc149720816"/>
      <w:bookmarkStart w:id="179" w:name="_Toc164608792"/>
      <w:bookmarkStart w:id="180" w:name="_Toc226965796"/>
      <w:bookmarkStart w:id="181" w:name="_Toc151193837"/>
      <w:bookmarkStart w:id="182" w:name="_Toc264969213"/>
      <w:bookmarkStart w:id="183" w:name="_Toc142311025"/>
      <w:bookmarkStart w:id="184" w:name="_Toc151193911"/>
      <w:bookmarkStart w:id="185" w:name="_Toc226309767"/>
      <w:bookmarkStart w:id="186" w:name="_Toc151193621"/>
      <w:bookmarkStart w:id="187" w:name="_Toc151190150"/>
      <w:bookmarkStart w:id="188" w:name="_Toc127161437"/>
      <w:bookmarkStart w:id="189" w:name="_Toc226337219"/>
      <w:bookmarkStart w:id="190" w:name="_Toc127151724"/>
      <w:bookmarkStart w:id="191" w:name="_Toc150774623"/>
      <w:bookmarkStart w:id="192" w:name="_Toc150480761"/>
      <w:bookmarkStart w:id="193" w:name="_Toc195842888"/>
      <w:r>
        <w:rPr>
          <w:sz w:val="24"/>
        </w:rPr>
        <w:t>竞争性磋商文件构</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r>
        <w:rPr>
          <w:sz w:val="24"/>
        </w:rPr>
        <w:t>成</w:t>
      </w:r>
    </w:p>
    <w:p w14:paraId="5C967447">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竞争性磋商文件包括以下部分：</w:t>
      </w:r>
    </w:p>
    <w:p w14:paraId="11CC075B">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采购邀请</w:t>
      </w:r>
    </w:p>
    <w:p w14:paraId="591E5518">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供应商须知</w:t>
      </w:r>
    </w:p>
    <w:p w14:paraId="27611981">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评审</w:t>
      </w:r>
      <w:r>
        <w:rPr>
          <w:rFonts w:hint="eastAsia"/>
          <w:sz w:val="24"/>
        </w:rPr>
        <w:t>程序、评审</w:t>
      </w:r>
      <w:r>
        <w:rPr>
          <w:sz w:val="24"/>
        </w:rPr>
        <w:t>方法和评审标准</w:t>
      </w:r>
    </w:p>
    <w:p w14:paraId="638212D0">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采购需求</w:t>
      </w:r>
    </w:p>
    <w:p w14:paraId="4D7C9FE4">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合同草案条款</w:t>
      </w:r>
    </w:p>
    <w:p w14:paraId="0D39627A">
      <w:pPr>
        <w:keepNext w:val="0"/>
        <w:keepLines w:val="0"/>
        <w:pageBreakBefore w:val="0"/>
        <w:widowControl w:val="0"/>
        <w:numPr>
          <w:ilvl w:val="0"/>
          <w:numId w:val="10"/>
        </w:numPr>
        <w:tabs>
          <w:tab w:val="left" w:pos="1980"/>
          <w:tab w:val="left" w:pos="2520"/>
        </w:tabs>
        <w:spacing w:line="360" w:lineRule="auto"/>
        <w:ind w:left="0" w:firstLine="480"/>
        <w:rPr>
          <w:sz w:val="24"/>
        </w:rPr>
      </w:pPr>
      <w:r>
        <w:rPr>
          <w:sz w:val="24"/>
        </w:rPr>
        <w:t>响应文件格式</w:t>
      </w:r>
    </w:p>
    <w:p w14:paraId="2C9171E4">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14:paraId="3D6FB774">
      <w:pPr>
        <w:keepNext w:val="0"/>
        <w:keepLines w:val="0"/>
        <w:pageBreakBefore w:val="0"/>
        <w:widowControl w:val="0"/>
        <w:numPr>
          <w:ilvl w:val="0"/>
          <w:numId w:val="9"/>
        </w:numPr>
        <w:tabs>
          <w:tab w:val="left" w:pos="1080"/>
          <w:tab w:val="left" w:pos="2014"/>
        </w:tabs>
        <w:spacing w:line="360" w:lineRule="auto"/>
        <w:ind w:left="0" w:firstLine="480"/>
        <w:outlineLvl w:val="1"/>
        <w:rPr>
          <w:sz w:val="24"/>
        </w:rPr>
      </w:pPr>
      <w:r>
        <w:rPr>
          <w:sz w:val="24"/>
        </w:rPr>
        <w:t>对竞争性磋商文件的澄清或修改</w:t>
      </w:r>
    </w:p>
    <w:p w14:paraId="6639D6E7">
      <w:pPr>
        <w:keepNext w:val="0"/>
        <w:keepLines w:val="0"/>
        <w:pageBreakBefore w:val="0"/>
        <w:widowControl w:val="0"/>
        <w:numPr>
          <w:ilvl w:val="1"/>
          <w:numId w:val="9"/>
        </w:numPr>
        <w:tabs>
          <w:tab w:val="left" w:pos="1080"/>
          <w:tab w:val="left" w:pos="1561"/>
          <w:tab w:val="left" w:pos="2014"/>
        </w:tabs>
        <w:spacing w:line="360" w:lineRule="auto"/>
        <w:ind w:left="0" w:firstLine="480"/>
        <w:rPr>
          <w:sz w:val="24"/>
        </w:rPr>
      </w:pPr>
      <w:r>
        <w:rPr>
          <w:sz w:val="24"/>
        </w:rPr>
        <w:t>采购人或采购代理机构对已发出的竞争性磋商文件进行必要澄清或者修改的，将在原公告发布媒体上以</w:t>
      </w:r>
      <w:r>
        <w:rPr>
          <w:rFonts w:hint="eastAsia"/>
          <w:sz w:val="24"/>
        </w:rPr>
        <w:t>发布</w:t>
      </w:r>
      <w:r>
        <w:rPr>
          <w:sz w:val="24"/>
        </w:rPr>
        <w:t>更正公告</w:t>
      </w:r>
      <w:r>
        <w:rPr>
          <w:rFonts w:hint="eastAsia"/>
          <w:sz w:val="24"/>
        </w:rPr>
        <w:t>的</w:t>
      </w:r>
      <w:r>
        <w:rPr>
          <w:sz w:val="24"/>
        </w:rPr>
        <w:t>形式通知所有获取</w:t>
      </w:r>
      <w:r>
        <w:rPr>
          <w:rFonts w:hint="eastAsia"/>
          <w:sz w:val="24"/>
        </w:rPr>
        <w:t>磋商文件</w:t>
      </w:r>
      <w:r>
        <w:rPr>
          <w:sz w:val="24"/>
        </w:rPr>
        <w:t>的</w:t>
      </w:r>
      <w:r>
        <w:rPr>
          <w:rFonts w:hint="eastAsia"/>
          <w:sz w:val="24"/>
        </w:rPr>
        <w:t>供应商。</w:t>
      </w:r>
    </w:p>
    <w:p w14:paraId="51FFE320">
      <w:pPr>
        <w:keepNext w:val="0"/>
        <w:keepLines w:val="0"/>
        <w:pageBreakBefore w:val="0"/>
        <w:widowControl w:val="0"/>
        <w:numPr>
          <w:ilvl w:val="1"/>
          <w:numId w:val="9"/>
        </w:numPr>
        <w:tabs>
          <w:tab w:val="left" w:pos="1080"/>
          <w:tab w:val="left" w:pos="1561"/>
          <w:tab w:val="left" w:pos="2014"/>
        </w:tabs>
        <w:spacing w:line="360" w:lineRule="auto"/>
        <w:ind w:left="0" w:firstLine="48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rPr>
        <w:t>5</w:t>
      </w:r>
      <w:r>
        <w:rPr>
          <w:sz w:val="24"/>
        </w:rPr>
        <w:t>日前</w:t>
      </w:r>
      <w:r>
        <w:rPr>
          <w:rFonts w:hint="eastAsia"/>
          <w:sz w:val="24"/>
        </w:rPr>
        <w:t>，</w:t>
      </w:r>
      <w:r>
        <w:rPr>
          <w:sz w:val="24"/>
        </w:rPr>
        <w:t>以更正公告形式通知所有获取</w:t>
      </w:r>
      <w:r>
        <w:rPr>
          <w:rFonts w:hint="eastAsia"/>
          <w:sz w:val="24"/>
        </w:rPr>
        <w:t>磋商</w:t>
      </w:r>
      <w:r>
        <w:rPr>
          <w:sz w:val="24"/>
        </w:rPr>
        <w:t>文件的潜在供应商；不足上述时间的，将顺延提交响应文件的截止时间。</w:t>
      </w:r>
    </w:p>
    <w:p w14:paraId="1F965623">
      <w:pPr>
        <w:tabs>
          <w:tab w:val="left" w:pos="1080"/>
          <w:tab w:val="left" w:pos="1561"/>
        </w:tabs>
        <w:spacing w:line="360" w:lineRule="auto"/>
        <w:ind w:left="1080"/>
        <w:rPr>
          <w:sz w:val="28"/>
        </w:rPr>
      </w:pPr>
      <w:bookmarkStart w:id="194" w:name="_Toc516367020"/>
      <w:bookmarkStart w:id="195" w:name="_Toc151193696"/>
      <w:bookmarkStart w:id="196" w:name="_Toc195842891"/>
      <w:bookmarkStart w:id="197" w:name="_Toc150774626"/>
      <w:bookmarkStart w:id="198" w:name="_Toc151193624"/>
      <w:bookmarkStart w:id="199" w:name="_Toc264969216"/>
      <w:bookmarkStart w:id="200" w:name="_Toc151190153"/>
      <w:bookmarkStart w:id="201" w:name="_Toc265228364"/>
      <w:bookmarkStart w:id="202" w:name="_Toc305158794"/>
      <w:bookmarkStart w:id="203" w:name="_Toc151193840"/>
      <w:bookmarkStart w:id="204" w:name="_Toc150509277"/>
      <w:bookmarkStart w:id="205" w:name="_Toc150480764"/>
      <w:bookmarkStart w:id="206" w:name="_Toc520356150"/>
      <w:bookmarkStart w:id="207" w:name="_Toc127151526"/>
      <w:bookmarkStart w:id="208" w:name="_Toc226965716"/>
      <w:bookmarkStart w:id="209" w:name="_Toc150774731"/>
      <w:bookmarkStart w:id="210" w:name="_Toc305158868"/>
      <w:bookmarkStart w:id="211" w:name="_Toc151193914"/>
      <w:bookmarkStart w:id="212" w:name="_Toc226965799"/>
      <w:bookmarkStart w:id="213" w:name="_Toc151193768"/>
      <w:bookmarkStart w:id="214" w:name="_Toc226337222"/>
      <w:bookmarkStart w:id="215" w:name="_Toc226309770"/>
      <w:bookmarkStart w:id="216" w:name="_Toc142311028"/>
    </w:p>
    <w:p w14:paraId="6A00CA90">
      <w:pPr>
        <w:pStyle w:val="184"/>
        <w:spacing w:before="0" w:line="360" w:lineRule="auto"/>
        <w:rPr>
          <w:rFonts w:ascii="Times New Roman" w:hAnsi="Times New Roman" w:eastAsia="宋体"/>
          <w:sz w:val="28"/>
        </w:rPr>
      </w:pPr>
      <w:r>
        <w:rPr>
          <w:rFonts w:ascii="Times New Roman" w:hAnsi="Times New Roman" w:eastAsia="宋体"/>
          <w:sz w:val="28"/>
        </w:rPr>
        <w:t>三   响应文件</w:t>
      </w:r>
      <w:bookmarkEnd w:id="194"/>
      <w:r>
        <w:rPr>
          <w:rFonts w:ascii="Times New Roman" w:hAnsi="Times New Roman" w:eastAsia="宋体"/>
          <w:sz w:val="28"/>
        </w:rPr>
        <w:t>的编制</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14:paraId="3A751F8D">
      <w:pPr>
        <w:keepNext w:val="0"/>
        <w:keepLines w:val="0"/>
        <w:pageBreakBefore w:val="0"/>
        <w:widowControl w:val="0"/>
        <w:numPr>
          <w:ilvl w:val="0"/>
          <w:numId w:val="9"/>
        </w:numPr>
        <w:tabs>
          <w:tab w:val="left" w:pos="360"/>
        </w:tabs>
        <w:spacing w:line="360" w:lineRule="auto"/>
        <w:ind w:left="0" w:firstLine="480"/>
        <w:outlineLvl w:val="1"/>
        <w:rPr>
          <w:sz w:val="24"/>
        </w:rPr>
      </w:pPr>
      <w:bookmarkStart w:id="217" w:name="_Toc142311029"/>
      <w:bookmarkStart w:id="218" w:name="_Toc264969217"/>
      <w:bookmarkStart w:id="219" w:name="_Toc226965717"/>
      <w:bookmarkStart w:id="220" w:name="_Toc164608641"/>
      <w:bookmarkStart w:id="221" w:name="_Toc516367021"/>
      <w:bookmarkStart w:id="222" w:name="_Toc151193841"/>
      <w:bookmarkStart w:id="223" w:name="_Toc305158795"/>
      <w:bookmarkStart w:id="224" w:name="_Toc164229368"/>
      <w:bookmarkStart w:id="225" w:name="_Toc150774627"/>
      <w:bookmarkStart w:id="226" w:name="_Toc150509278"/>
      <w:bookmarkStart w:id="227" w:name="_Toc164608796"/>
      <w:bookmarkStart w:id="228" w:name="_Toc127161441"/>
      <w:bookmarkStart w:id="229" w:name="_Toc265228365"/>
      <w:bookmarkStart w:id="230" w:name="_Toc127151527"/>
      <w:bookmarkStart w:id="231" w:name="_Toc127151728"/>
      <w:bookmarkStart w:id="232" w:name="_Toc151193769"/>
      <w:bookmarkStart w:id="233" w:name="_Toc520356151"/>
      <w:bookmarkStart w:id="234" w:name="_Toc226309771"/>
      <w:bookmarkStart w:id="235" w:name="_Toc164229222"/>
      <w:bookmarkStart w:id="236" w:name="_Toc149720820"/>
      <w:bookmarkStart w:id="237" w:name="_Toc151190154"/>
      <w:bookmarkStart w:id="238" w:name="_Toc226965800"/>
      <w:bookmarkStart w:id="239" w:name="_Toc151193697"/>
      <w:bookmarkStart w:id="240" w:name="_Toc151193915"/>
      <w:bookmarkStart w:id="241" w:name="_Toc150774732"/>
      <w:bookmarkStart w:id="242" w:name="_Toc164351621"/>
      <w:bookmarkStart w:id="243" w:name="_Toc226337223"/>
      <w:bookmarkStart w:id="244" w:name="_Toc195842892"/>
      <w:bookmarkStart w:id="245" w:name="_Toc305158869"/>
      <w:bookmarkStart w:id="246" w:name="_Toc150480765"/>
      <w:bookmarkStart w:id="247" w:name="_Toc151193625"/>
      <w:r>
        <w:rPr>
          <w:sz w:val="24"/>
        </w:rPr>
        <w:t>响应范围、竞争性磋商文件中计量单位的使用</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Pr>
          <w:sz w:val="24"/>
        </w:rPr>
        <w:t>及磋商语言</w:t>
      </w:r>
    </w:p>
    <w:p w14:paraId="17CAC5F5">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14:paraId="7BF453F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除竞争性磋商文件有特殊要求外，本项目磋商所使用的计量单位，应采用中华人民共和国法定计量单位。</w:t>
      </w:r>
    </w:p>
    <w:p w14:paraId="38360450">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0D72CFD">
      <w:pPr>
        <w:keepNext w:val="0"/>
        <w:keepLines w:val="0"/>
        <w:pageBreakBefore w:val="0"/>
        <w:widowControl w:val="0"/>
        <w:numPr>
          <w:ilvl w:val="0"/>
          <w:numId w:val="9"/>
        </w:numPr>
        <w:tabs>
          <w:tab w:val="left" w:pos="360"/>
        </w:tabs>
        <w:spacing w:line="360" w:lineRule="auto"/>
        <w:ind w:left="0" w:firstLine="480"/>
        <w:outlineLvl w:val="1"/>
        <w:rPr>
          <w:sz w:val="24"/>
        </w:rPr>
      </w:pPr>
      <w:bookmarkStart w:id="248" w:name="_Ref467306195"/>
      <w:bookmarkStart w:id="249" w:name="_Toc516367022"/>
      <w:bookmarkStart w:id="250" w:name="_Ref467306676"/>
      <w:bookmarkStart w:id="251" w:name="_Toc150774733"/>
      <w:bookmarkStart w:id="252" w:name="_Toc150480766"/>
      <w:bookmarkStart w:id="253" w:name="_Toc195842893"/>
      <w:bookmarkStart w:id="254" w:name="_Toc305158870"/>
      <w:bookmarkStart w:id="255" w:name="_Toc150774628"/>
      <w:bookmarkStart w:id="256" w:name="_Toc164229223"/>
      <w:bookmarkStart w:id="257" w:name="_Toc226309772"/>
      <w:bookmarkStart w:id="258" w:name="_Toc149720821"/>
      <w:bookmarkStart w:id="259" w:name="_Toc164608797"/>
      <w:bookmarkStart w:id="260" w:name="_Toc520356152"/>
      <w:bookmarkStart w:id="261" w:name="_Toc226337224"/>
      <w:bookmarkStart w:id="262" w:name="_Toc127151528"/>
      <w:bookmarkStart w:id="263" w:name="_Toc226965801"/>
      <w:bookmarkStart w:id="264" w:name="_Toc142311030"/>
      <w:bookmarkStart w:id="265" w:name="_Toc127151729"/>
      <w:bookmarkStart w:id="266" w:name="_Toc265228366"/>
      <w:bookmarkStart w:id="267" w:name="_Toc226965718"/>
      <w:bookmarkStart w:id="268" w:name="_Toc151190155"/>
      <w:bookmarkStart w:id="269" w:name="_Toc164229369"/>
      <w:bookmarkStart w:id="270" w:name="_Toc151193916"/>
      <w:bookmarkStart w:id="271" w:name="_Toc305158796"/>
      <w:bookmarkStart w:id="272" w:name="_Toc151193842"/>
      <w:bookmarkStart w:id="273" w:name="_Toc264969218"/>
      <w:bookmarkStart w:id="274" w:name="_Toc151193770"/>
      <w:bookmarkStart w:id="275" w:name="_Toc151193626"/>
      <w:bookmarkStart w:id="276" w:name="_Toc151193698"/>
      <w:bookmarkStart w:id="277" w:name="_Toc150509279"/>
      <w:bookmarkStart w:id="278" w:name="_Toc164608642"/>
      <w:bookmarkStart w:id="279" w:name="_Toc164351622"/>
      <w:bookmarkStart w:id="280" w:name="_Toc127161442"/>
      <w:r>
        <w:rPr>
          <w:sz w:val="24"/>
        </w:rPr>
        <w:t>响应文件</w:t>
      </w:r>
      <w:bookmarkEnd w:id="248"/>
      <w:bookmarkEnd w:id="249"/>
      <w:bookmarkEnd w:id="250"/>
      <w:r>
        <w:rPr>
          <w:sz w:val="24"/>
        </w:rPr>
        <w:t>构成</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236AEBA7">
      <w:pPr>
        <w:keepNext w:val="0"/>
        <w:keepLines w:val="0"/>
        <w:pageBreakBefore w:val="0"/>
        <w:widowControl w:val="0"/>
        <w:numPr>
          <w:ilvl w:val="1"/>
          <w:numId w:val="9"/>
        </w:numPr>
        <w:tabs>
          <w:tab w:val="left" w:pos="1080"/>
          <w:tab w:val="left" w:pos="2014"/>
        </w:tabs>
        <w:spacing w:line="360" w:lineRule="auto"/>
        <w:ind w:left="0" w:firstLine="480"/>
        <w:rPr>
          <w:sz w:val="24"/>
        </w:rPr>
      </w:pPr>
      <w:bookmarkStart w:id="281" w:name="_Ref467052588"/>
      <w:r>
        <w:rPr>
          <w:sz w:val="24"/>
        </w:rPr>
        <w:t>供应商应当按照竞争性磋商文件的要求编制响应文件，并对其提交的响应文件的真实性、合法性承担法律责任。响应文件的部分格式要求，见第六章《响应文件格式》。</w:t>
      </w:r>
    </w:p>
    <w:p w14:paraId="179D00D6">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对于竞争性磋商文件中标记了</w:t>
      </w:r>
      <w:r>
        <w:rPr>
          <w:rFonts w:hint="eastAsia"/>
          <w:sz w:val="24"/>
          <w:lang w:eastAsia="zh-CN"/>
        </w:rPr>
        <w:t>“</w:t>
      </w:r>
      <w:r>
        <w:rPr>
          <w:sz w:val="24"/>
        </w:rPr>
        <w:t>实质性格式</w:t>
      </w:r>
      <w:r>
        <w:rPr>
          <w:rFonts w:hint="eastAsia"/>
          <w:sz w:val="24"/>
          <w:lang w:eastAsia="zh-CN"/>
        </w:rPr>
        <w:t>”</w:t>
      </w:r>
      <w:r>
        <w:rPr>
          <w:sz w:val="24"/>
        </w:rPr>
        <w:t>文件的，供应商不得改变格式中给定的文字所表达的含义，不得删减格式中的实质性内容，不得自行添加与格式中给定的文字内容相矛盾的内容，不得对应当填写的空格不填写或不实质性响应，</w:t>
      </w:r>
      <w:r>
        <w:rPr>
          <w:b/>
          <w:sz w:val="24"/>
        </w:rPr>
        <w:t>否则响应无效</w:t>
      </w:r>
      <w:r>
        <w:rPr>
          <w:sz w:val="24"/>
        </w:rPr>
        <w:t>。未标记</w:t>
      </w:r>
      <w:r>
        <w:rPr>
          <w:rFonts w:hint="eastAsia"/>
          <w:sz w:val="24"/>
          <w:lang w:eastAsia="zh-CN"/>
        </w:rPr>
        <w:t>“</w:t>
      </w:r>
      <w:r>
        <w:rPr>
          <w:sz w:val="24"/>
        </w:rPr>
        <w:t>实质性格式</w:t>
      </w:r>
      <w:r>
        <w:rPr>
          <w:rFonts w:hint="eastAsia"/>
          <w:sz w:val="24"/>
          <w:lang w:eastAsia="zh-CN"/>
        </w:rPr>
        <w:t>”</w:t>
      </w:r>
      <w:r>
        <w:rPr>
          <w:sz w:val="24"/>
        </w:rPr>
        <w:t>的文件和竞争性磋商文件未提供格式的内容，可由供应商自行编写。</w:t>
      </w:r>
    </w:p>
    <w:p w14:paraId="642579AB">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第三章《评审方法和评审标准》中涉及的证明文件。</w:t>
      </w:r>
    </w:p>
    <w:p w14:paraId="31759269">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2B8CF95">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供应商认为应附的其他材料。</w:t>
      </w:r>
      <w:bookmarkEnd w:id="281"/>
    </w:p>
    <w:p w14:paraId="61F8BCE9">
      <w:pPr>
        <w:keepNext w:val="0"/>
        <w:keepLines w:val="0"/>
        <w:pageBreakBefore w:val="0"/>
        <w:widowControl w:val="0"/>
        <w:numPr>
          <w:ilvl w:val="0"/>
          <w:numId w:val="9"/>
        </w:numPr>
        <w:tabs>
          <w:tab w:val="left" w:pos="360"/>
        </w:tabs>
        <w:spacing w:line="360" w:lineRule="auto"/>
        <w:ind w:left="0" w:firstLine="480"/>
        <w:outlineLvl w:val="1"/>
        <w:rPr>
          <w:sz w:val="24"/>
        </w:rPr>
      </w:pPr>
      <w:bookmarkStart w:id="282" w:name="_Toc151193700"/>
      <w:bookmarkStart w:id="283" w:name="_Toc127151731"/>
      <w:bookmarkStart w:id="284" w:name="_Toc195842895"/>
      <w:bookmarkStart w:id="285" w:name="_Toc149720823"/>
      <w:bookmarkStart w:id="286" w:name="_Toc151190157"/>
      <w:bookmarkStart w:id="287" w:name="_Toc150774630"/>
      <w:bookmarkStart w:id="288" w:name="_Toc164608644"/>
      <w:bookmarkStart w:id="289" w:name="_Toc151193772"/>
      <w:bookmarkStart w:id="290" w:name="_Toc142311032"/>
      <w:bookmarkStart w:id="291" w:name="_Toc150774735"/>
      <w:bookmarkStart w:id="292" w:name="_Toc164351624"/>
      <w:bookmarkStart w:id="293" w:name="_Toc127161444"/>
      <w:bookmarkStart w:id="294" w:name="_Toc150480768"/>
      <w:bookmarkStart w:id="295" w:name="_Toc151193628"/>
      <w:bookmarkStart w:id="296" w:name="_Toc164608799"/>
      <w:bookmarkStart w:id="297" w:name="_Toc164229371"/>
      <w:bookmarkStart w:id="298" w:name="_Toc127151530"/>
      <w:bookmarkStart w:id="299" w:name="_Toc150509281"/>
      <w:bookmarkStart w:id="300" w:name="_Toc151193918"/>
      <w:bookmarkStart w:id="301" w:name="_Toc520356155"/>
      <w:bookmarkStart w:id="302" w:name="_Toc164229225"/>
      <w:bookmarkStart w:id="303" w:name="_Toc151193844"/>
      <w:r>
        <w:rPr>
          <w:sz w:val="24"/>
        </w:rPr>
        <w:t>报价</w:t>
      </w:r>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p>
    <w:p w14:paraId="0F44AEDF">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所有响应均以人民币报价。</w:t>
      </w:r>
    </w:p>
    <w:p w14:paraId="73E29B79">
      <w:pPr>
        <w:keepNext w:val="0"/>
        <w:keepLines w:val="0"/>
        <w:pageBreakBefore w:val="0"/>
        <w:widowControl w:val="0"/>
        <w:numPr>
          <w:ilvl w:val="1"/>
          <w:numId w:val="9"/>
        </w:numPr>
        <w:tabs>
          <w:tab w:val="left" w:pos="1080"/>
        </w:tabs>
        <w:spacing w:line="360" w:lineRule="auto"/>
        <w:ind w:left="0" w:firstLine="48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622A1413">
      <w:pPr>
        <w:keepNext w:val="0"/>
        <w:keepLines w:val="0"/>
        <w:pageBreakBefore w:val="0"/>
        <w:widowControl w:val="0"/>
        <w:numPr>
          <w:ilvl w:val="2"/>
          <w:numId w:val="9"/>
        </w:numPr>
        <w:spacing w:line="360" w:lineRule="auto"/>
        <w:ind w:left="0" w:firstLine="480"/>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1FDC2CDD">
      <w:pPr>
        <w:keepNext w:val="0"/>
        <w:keepLines w:val="0"/>
        <w:pageBreakBefore w:val="0"/>
        <w:widowControl w:val="0"/>
        <w:numPr>
          <w:ilvl w:val="2"/>
          <w:numId w:val="9"/>
        </w:numPr>
        <w:spacing w:line="360" w:lineRule="auto"/>
        <w:ind w:left="0" w:firstLine="480"/>
        <w:rPr>
          <w:sz w:val="24"/>
        </w:rPr>
      </w:pPr>
      <w:r>
        <w:rPr>
          <w:sz w:val="24"/>
        </w:rPr>
        <w:t>按照竞争性磋商文件要求完成本项</w:t>
      </w:r>
      <w:r>
        <w:rPr>
          <w:rFonts w:hint="eastAsia"/>
          <w:sz w:val="24"/>
        </w:rPr>
        <w:t>目的全部相关工程或服务费用。</w:t>
      </w:r>
    </w:p>
    <w:p w14:paraId="3D7190E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采购人不得向供应商索要或者接受其给予的赠品、回扣或者与采购无关的其他商品、服务。</w:t>
      </w:r>
    </w:p>
    <w:p w14:paraId="2F4BB054">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供应商不能提供任何有选择性或可调整的最终报价（</w:t>
      </w:r>
      <w:r>
        <w:rPr>
          <w:color w:val="000000"/>
          <w:sz w:val="24"/>
        </w:rPr>
        <w:t>竞争性磋商文件</w:t>
      </w:r>
      <w:r>
        <w:rPr>
          <w:sz w:val="24"/>
        </w:rPr>
        <w:t>另有规定的除外），否则其</w:t>
      </w:r>
      <w:r>
        <w:rPr>
          <w:b/>
          <w:sz w:val="24"/>
        </w:rPr>
        <w:t>响应无效</w:t>
      </w:r>
      <w:r>
        <w:rPr>
          <w:sz w:val="24"/>
        </w:rPr>
        <w:t>。</w:t>
      </w:r>
    </w:p>
    <w:p w14:paraId="1DFE13EB">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磋商保证金</w:t>
      </w:r>
    </w:p>
    <w:p w14:paraId="5F3A3CD4">
      <w:pPr>
        <w:keepNext w:val="0"/>
        <w:keepLines w:val="0"/>
        <w:pageBreakBefore w:val="0"/>
        <w:widowControl w:val="0"/>
        <w:tabs>
          <w:tab w:val="left" w:pos="360"/>
        </w:tabs>
        <w:spacing w:line="360" w:lineRule="auto"/>
        <w:ind w:firstLine="480"/>
        <w:outlineLvl w:val="1"/>
        <w:rPr>
          <w:sz w:val="24"/>
        </w:rPr>
      </w:pPr>
      <w:r>
        <w:rPr>
          <w:rFonts w:hint="eastAsia"/>
          <w:sz w:val="24"/>
        </w:rPr>
        <w:t>根据江苏省和常州市的相关文件规定，免收保证金。</w:t>
      </w:r>
    </w:p>
    <w:p w14:paraId="2C47ABC1">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响应有效期</w:t>
      </w:r>
    </w:p>
    <w:p w14:paraId="65511D94">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14:paraId="212A5075">
      <w:pPr>
        <w:keepNext w:val="0"/>
        <w:keepLines w:val="0"/>
        <w:pageBreakBefore w:val="0"/>
        <w:widowControl w:val="0"/>
        <w:numPr>
          <w:ilvl w:val="0"/>
          <w:numId w:val="9"/>
        </w:numPr>
        <w:tabs>
          <w:tab w:val="left" w:pos="360"/>
        </w:tabs>
        <w:spacing w:line="360" w:lineRule="auto"/>
        <w:ind w:left="0" w:firstLine="480"/>
        <w:outlineLvl w:val="1"/>
        <w:rPr>
          <w:sz w:val="24"/>
        </w:rPr>
      </w:pPr>
      <w:bookmarkStart w:id="304" w:name="_Toc151193775"/>
      <w:bookmarkStart w:id="305" w:name="_Toc226337229"/>
      <w:bookmarkStart w:id="306" w:name="_Toc226309777"/>
      <w:bookmarkStart w:id="307" w:name="_Toc149720826"/>
      <w:bookmarkStart w:id="308" w:name="_Toc150509284"/>
      <w:bookmarkStart w:id="309" w:name="_Toc127151734"/>
      <w:bookmarkStart w:id="310" w:name="_Toc226965723"/>
      <w:bookmarkStart w:id="311" w:name="_Toc195842898"/>
      <w:bookmarkStart w:id="312" w:name="_Toc151193921"/>
      <w:bookmarkStart w:id="313" w:name="_Toc164608647"/>
      <w:bookmarkStart w:id="314" w:name="_Toc265228371"/>
      <w:bookmarkStart w:id="315" w:name="_Toc164351627"/>
      <w:bookmarkStart w:id="316" w:name="_Toc151193703"/>
      <w:bookmarkStart w:id="317" w:name="_Toc150774633"/>
      <w:bookmarkStart w:id="318" w:name="_Toc226965806"/>
      <w:bookmarkStart w:id="319" w:name="_Toc150480771"/>
      <w:bookmarkStart w:id="320" w:name="_Toc151193847"/>
      <w:bookmarkStart w:id="321" w:name="_Toc164229228"/>
      <w:bookmarkStart w:id="322" w:name="_Toc264969223"/>
      <w:bookmarkStart w:id="323" w:name="_Toc164229374"/>
      <w:bookmarkStart w:id="324" w:name="_Toc305158875"/>
      <w:bookmarkStart w:id="325" w:name="_Toc150774738"/>
      <w:bookmarkStart w:id="326" w:name="_Toc305158801"/>
      <w:bookmarkStart w:id="327" w:name="_Toc151190160"/>
      <w:bookmarkStart w:id="328" w:name="_Toc520356158"/>
      <w:bookmarkStart w:id="329" w:name="_Toc142311035"/>
      <w:bookmarkStart w:id="330" w:name="_Toc127161447"/>
      <w:bookmarkStart w:id="331" w:name="_Toc164608802"/>
      <w:bookmarkStart w:id="332" w:name="_Toc127151533"/>
      <w:bookmarkStart w:id="333" w:name="_Toc151193631"/>
      <w:r>
        <w:rPr>
          <w:sz w:val="24"/>
        </w:rPr>
        <w:t>响应文件的签署</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r>
        <w:rPr>
          <w:sz w:val="24"/>
        </w:rPr>
        <w:t>、盖章</w:t>
      </w:r>
    </w:p>
    <w:p w14:paraId="65E6FA76">
      <w:pPr>
        <w:keepNext w:val="0"/>
        <w:keepLines w:val="0"/>
        <w:pageBreakBefore w:val="0"/>
        <w:widowControl w:val="0"/>
        <w:numPr>
          <w:ilvl w:val="1"/>
          <w:numId w:val="9"/>
        </w:numPr>
        <w:tabs>
          <w:tab w:val="left" w:pos="1080"/>
        </w:tabs>
        <w:spacing w:line="360" w:lineRule="auto"/>
        <w:ind w:left="0" w:firstLine="480"/>
        <w:rPr>
          <w:sz w:val="24"/>
        </w:rPr>
      </w:pPr>
      <w:bookmarkStart w:id="334" w:name="_Toc150509285"/>
      <w:bookmarkStart w:id="335" w:name="_Toc305158802"/>
      <w:bookmarkStart w:id="336" w:name="_Toc226965724"/>
      <w:bookmarkStart w:id="337" w:name="_Toc226965807"/>
      <w:bookmarkStart w:id="338" w:name="_Toc127151534"/>
      <w:bookmarkStart w:id="339" w:name="_Toc142311036"/>
      <w:bookmarkStart w:id="340" w:name="_Toc151193776"/>
      <w:bookmarkStart w:id="341" w:name="_Toc226309778"/>
      <w:bookmarkStart w:id="342" w:name="_Toc265228372"/>
      <w:bookmarkStart w:id="343" w:name="_Toc226337230"/>
      <w:bookmarkStart w:id="344" w:name="_Toc150480772"/>
      <w:bookmarkStart w:id="345" w:name="_Toc151193848"/>
      <w:bookmarkStart w:id="346" w:name="_Toc264969224"/>
      <w:bookmarkStart w:id="347" w:name="_Toc195842899"/>
      <w:bookmarkStart w:id="348" w:name="_Toc151193632"/>
      <w:bookmarkStart w:id="349" w:name="_Toc151193922"/>
      <w:bookmarkStart w:id="350" w:name="_Toc305158876"/>
      <w:bookmarkStart w:id="351" w:name="_Toc150774739"/>
      <w:bookmarkStart w:id="352" w:name="_Toc150774634"/>
      <w:bookmarkStart w:id="353" w:name="_Toc151190161"/>
      <w:bookmarkStart w:id="354" w:name="_Toc520356159"/>
      <w:bookmarkStart w:id="355" w:name="_Toc151193704"/>
      <w:r>
        <w:rPr>
          <w:sz w:val="24"/>
        </w:rPr>
        <w:t>竞争性磋商文件要求签字的内容（如授权委托书等），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第三方出具的盖章件原件（如联合协议、分包意向协议、制造商授权书原件等），响应文件中应使用原件的电子件。</w:t>
      </w:r>
    </w:p>
    <w:p w14:paraId="78BFC82A">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竞争性磋商文件要求盖章的内容，</w:t>
      </w:r>
      <w:r>
        <w:rPr>
          <w:rFonts w:hint="eastAsia"/>
          <w:sz w:val="24"/>
        </w:rPr>
        <w:t>一般</w:t>
      </w:r>
      <w:r>
        <w:rPr>
          <w:sz w:val="24"/>
        </w:rPr>
        <w:t>通过</w:t>
      </w:r>
      <w:r>
        <w:rPr>
          <w:rFonts w:hint="eastAsia"/>
          <w:sz w:val="24"/>
          <w:lang w:eastAsia="zh-CN"/>
        </w:rPr>
        <w:t>响应文件</w:t>
      </w:r>
      <w:r>
        <w:rPr>
          <w:sz w:val="24"/>
        </w:rPr>
        <w:t>编制工具加盖电子签章。</w:t>
      </w:r>
    </w:p>
    <w:p w14:paraId="68F45F5D">
      <w:pPr>
        <w:tabs>
          <w:tab w:val="left" w:pos="900"/>
          <w:tab w:val="left" w:pos="1080"/>
        </w:tabs>
        <w:spacing w:line="360" w:lineRule="auto"/>
        <w:ind w:left="357"/>
      </w:pPr>
    </w:p>
    <w:p w14:paraId="66CA1415">
      <w:pPr>
        <w:pStyle w:val="184"/>
        <w:spacing w:before="0" w:line="360" w:lineRule="auto"/>
        <w:rPr>
          <w:rFonts w:ascii="Times New Roman" w:hAnsi="Times New Roman" w:eastAsia="宋体"/>
          <w:sz w:val="28"/>
        </w:rPr>
      </w:pPr>
      <w:r>
        <w:rPr>
          <w:rFonts w:ascii="Times New Roman" w:hAnsi="Times New Roman" w:eastAsia="宋体"/>
          <w:sz w:val="28"/>
        </w:rPr>
        <w:t>四   响应文件的提交</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p>
    <w:p w14:paraId="31EECB7B">
      <w:pPr>
        <w:keepNext w:val="0"/>
        <w:keepLines w:val="0"/>
        <w:pageBreakBefore w:val="0"/>
        <w:widowControl w:val="0"/>
        <w:numPr>
          <w:ilvl w:val="0"/>
          <w:numId w:val="9"/>
        </w:numPr>
        <w:tabs>
          <w:tab w:val="left" w:pos="360"/>
        </w:tabs>
        <w:spacing w:line="360" w:lineRule="auto"/>
        <w:ind w:left="0" w:firstLine="480"/>
        <w:outlineLvl w:val="1"/>
        <w:rPr>
          <w:sz w:val="24"/>
        </w:rPr>
      </w:pPr>
      <w:bookmarkStart w:id="356" w:name="_Toc305158803"/>
      <w:bookmarkStart w:id="357" w:name="_Toc150774635"/>
      <w:bookmarkStart w:id="358" w:name="_Toc142311037"/>
      <w:bookmarkStart w:id="359" w:name="_Toc265228373"/>
      <w:bookmarkStart w:id="360" w:name="_Toc195842900"/>
      <w:bookmarkStart w:id="361" w:name="_Toc164608804"/>
      <w:bookmarkStart w:id="362" w:name="_Toc151193705"/>
      <w:bookmarkStart w:id="363" w:name="_Toc150774740"/>
      <w:bookmarkStart w:id="364" w:name="_Toc264969225"/>
      <w:bookmarkStart w:id="365" w:name="_Toc151193777"/>
      <w:bookmarkStart w:id="366" w:name="_Toc305158877"/>
      <w:bookmarkStart w:id="367" w:name="_Toc226337231"/>
      <w:bookmarkStart w:id="368" w:name="_Toc150480773"/>
      <w:bookmarkStart w:id="369" w:name="_Toc164351629"/>
      <w:bookmarkStart w:id="370" w:name="_Toc164229230"/>
      <w:bookmarkStart w:id="371" w:name="_Toc164608649"/>
      <w:bookmarkStart w:id="372" w:name="_Toc127151535"/>
      <w:bookmarkStart w:id="373" w:name="_Toc127161449"/>
      <w:bookmarkStart w:id="374" w:name="_Toc226965725"/>
      <w:bookmarkStart w:id="375" w:name="_Toc151193633"/>
      <w:bookmarkStart w:id="376" w:name="_Toc149720828"/>
      <w:bookmarkStart w:id="377" w:name="_Toc226965808"/>
      <w:bookmarkStart w:id="378" w:name="_Toc151190162"/>
      <w:bookmarkStart w:id="379" w:name="_Toc164229376"/>
      <w:bookmarkStart w:id="380" w:name="_Toc151193923"/>
      <w:bookmarkStart w:id="381" w:name="_Toc127151736"/>
      <w:bookmarkStart w:id="382" w:name="_Toc226309779"/>
      <w:bookmarkStart w:id="383" w:name="_Toc151193849"/>
      <w:bookmarkStart w:id="384" w:name="_Toc150509286"/>
      <w:bookmarkStart w:id="385" w:name="_Toc520356160"/>
      <w:r>
        <w:rPr>
          <w:sz w:val="24"/>
        </w:rPr>
        <w:t>响应文件的</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r>
        <w:rPr>
          <w:sz w:val="24"/>
        </w:rPr>
        <w:t>提交</w:t>
      </w:r>
    </w:p>
    <w:p w14:paraId="5F8A947B">
      <w:pPr>
        <w:keepNext w:val="0"/>
        <w:keepLines w:val="0"/>
        <w:pageBreakBefore w:val="0"/>
        <w:widowControl w:val="0"/>
        <w:numPr>
          <w:ilvl w:val="1"/>
          <w:numId w:val="9"/>
        </w:numPr>
        <w:tabs>
          <w:tab w:val="left" w:pos="1080"/>
          <w:tab w:val="left" w:pos="2014"/>
        </w:tabs>
        <w:spacing w:line="360" w:lineRule="auto"/>
        <w:ind w:left="0" w:firstLine="480"/>
        <w:rPr>
          <w:sz w:val="24"/>
        </w:rPr>
      </w:pPr>
      <w:r>
        <w:rPr>
          <w:rFonts w:hint="eastAsia"/>
          <w:sz w:val="24"/>
        </w:rPr>
        <w:t>本项目使用</w:t>
      </w:r>
      <w:r>
        <w:rPr>
          <w:rFonts w:hint="eastAsia"/>
          <w:sz w:val="24"/>
          <w:lang w:eastAsia="zh-CN"/>
        </w:rPr>
        <w:t>“</w:t>
      </w:r>
      <w:r>
        <w:rPr>
          <w:rFonts w:hint="eastAsia"/>
          <w:sz w:val="24"/>
        </w:rPr>
        <w:t>苏采云</w:t>
      </w:r>
      <w:r>
        <w:rPr>
          <w:rFonts w:hint="eastAsia"/>
          <w:sz w:val="24"/>
          <w:lang w:eastAsia="zh-CN"/>
        </w:rPr>
        <w:t>”</w:t>
      </w:r>
      <w:r>
        <w:rPr>
          <w:rFonts w:hint="eastAsia"/>
          <w:sz w:val="24"/>
        </w:rPr>
        <w:t>政府采购一体化平台。投标人根据招标文件及</w:t>
      </w:r>
      <w:r>
        <w:rPr>
          <w:rFonts w:hint="eastAsia"/>
          <w:sz w:val="24"/>
          <w:lang w:eastAsia="zh-CN"/>
        </w:rPr>
        <w:t>“</w:t>
      </w:r>
      <w:r>
        <w:rPr>
          <w:rFonts w:hint="eastAsia"/>
          <w:sz w:val="24"/>
        </w:rPr>
        <w:t>苏采云</w:t>
      </w:r>
      <w:r>
        <w:rPr>
          <w:rFonts w:hint="eastAsia"/>
          <w:sz w:val="24"/>
          <w:lang w:eastAsia="zh-CN"/>
        </w:rPr>
        <w:t>”</w:t>
      </w:r>
      <w:r>
        <w:rPr>
          <w:rFonts w:hint="eastAsia"/>
          <w:sz w:val="24"/>
        </w:rPr>
        <w:t>政府采购一体化平台供应商操作手册要求编制、生成并提交电子投标文件</w:t>
      </w:r>
      <w:r>
        <w:rPr>
          <w:sz w:val="24"/>
        </w:rPr>
        <w:t>。</w:t>
      </w:r>
    </w:p>
    <w:p w14:paraId="2684844A">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采购人及采购代理机构拒绝接受通过</w:t>
      </w:r>
      <w:r>
        <w:rPr>
          <w:rFonts w:hint="eastAsia"/>
          <w:sz w:val="24"/>
          <w:lang w:eastAsia="zh-CN"/>
        </w:rPr>
        <w:t>“</w:t>
      </w:r>
      <w:r>
        <w:rPr>
          <w:rFonts w:hint="eastAsia"/>
          <w:sz w:val="24"/>
        </w:rPr>
        <w:t>苏采云</w:t>
      </w:r>
      <w:r>
        <w:rPr>
          <w:rFonts w:hint="eastAsia"/>
          <w:sz w:val="24"/>
          <w:lang w:eastAsia="zh-CN"/>
        </w:rPr>
        <w:t>”</w:t>
      </w:r>
      <w:r>
        <w:rPr>
          <w:rFonts w:hint="eastAsia"/>
          <w:sz w:val="24"/>
        </w:rPr>
        <w:t>政府采购一体化</w:t>
      </w:r>
      <w:r>
        <w:rPr>
          <w:sz w:val="24"/>
        </w:rPr>
        <w:t>平台以外任何形式提交的响应文件，磋商保证金除外。</w:t>
      </w:r>
    </w:p>
    <w:p w14:paraId="3B668F68">
      <w:pPr>
        <w:keepNext w:val="0"/>
        <w:keepLines w:val="0"/>
        <w:pageBreakBefore w:val="0"/>
        <w:widowControl w:val="0"/>
        <w:numPr>
          <w:ilvl w:val="0"/>
          <w:numId w:val="9"/>
        </w:numPr>
        <w:tabs>
          <w:tab w:val="left" w:pos="360"/>
        </w:tabs>
        <w:spacing w:line="360" w:lineRule="auto"/>
        <w:ind w:left="0" w:firstLine="480"/>
        <w:outlineLvl w:val="1"/>
        <w:rPr>
          <w:sz w:val="24"/>
        </w:rPr>
      </w:pPr>
      <w:bookmarkStart w:id="386" w:name="_Toc151190163"/>
      <w:bookmarkStart w:id="387" w:name="_Toc195842901"/>
      <w:bookmarkStart w:id="388" w:name="_Toc305158878"/>
      <w:bookmarkStart w:id="389" w:name="_Toc150480774"/>
      <w:bookmarkStart w:id="390" w:name="_Toc520356161"/>
      <w:bookmarkStart w:id="391" w:name="_Toc151193634"/>
      <w:bookmarkStart w:id="392" w:name="_Toc151193850"/>
      <w:bookmarkStart w:id="393" w:name="_Toc150774636"/>
      <w:bookmarkStart w:id="394" w:name="_Toc164351630"/>
      <w:bookmarkStart w:id="395" w:name="_Toc226965809"/>
      <w:bookmarkStart w:id="396" w:name="_Toc265228374"/>
      <w:bookmarkStart w:id="397" w:name="_Toc151193924"/>
      <w:bookmarkStart w:id="398" w:name="_Toc150509287"/>
      <w:bookmarkStart w:id="399" w:name="_Toc151193706"/>
      <w:bookmarkStart w:id="400" w:name="_Toc127151737"/>
      <w:bookmarkStart w:id="401" w:name="_Toc150774741"/>
      <w:bookmarkStart w:id="402" w:name="_Toc149720829"/>
      <w:bookmarkStart w:id="403" w:name="_Toc226965726"/>
      <w:bookmarkStart w:id="404" w:name="_Toc264969226"/>
      <w:bookmarkStart w:id="405" w:name="_Toc164229231"/>
      <w:bookmarkStart w:id="406" w:name="_Toc164608650"/>
      <w:bookmarkStart w:id="407" w:name="_Toc226337232"/>
      <w:bookmarkStart w:id="408" w:name="_Toc164608805"/>
      <w:bookmarkStart w:id="409" w:name="_Toc164229377"/>
      <w:bookmarkStart w:id="410" w:name="_Toc151193778"/>
      <w:bookmarkStart w:id="411" w:name="_Toc142311038"/>
      <w:bookmarkStart w:id="412" w:name="_Toc226309780"/>
      <w:bookmarkStart w:id="413" w:name="_Toc305158804"/>
      <w:bookmarkStart w:id="414" w:name="_Toc127161450"/>
      <w:bookmarkStart w:id="415" w:name="_Toc127151536"/>
      <w:r>
        <w:rPr>
          <w:sz w:val="24"/>
        </w:rPr>
        <w:t>响应文件截止</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Pr>
          <w:sz w:val="24"/>
        </w:rPr>
        <w:t>时间</w:t>
      </w:r>
    </w:p>
    <w:p w14:paraId="6623623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供应商应在竞争性磋商文件要求提交响应文件截止时间前，将电子响应文件提交至</w:t>
      </w:r>
      <w:r>
        <w:rPr>
          <w:rFonts w:hint="eastAsia"/>
          <w:sz w:val="24"/>
          <w:lang w:eastAsia="zh-CN"/>
        </w:rPr>
        <w:t>“</w:t>
      </w:r>
      <w:r>
        <w:rPr>
          <w:rFonts w:hint="eastAsia"/>
          <w:sz w:val="24"/>
        </w:rPr>
        <w:t>苏采云</w:t>
      </w:r>
      <w:r>
        <w:rPr>
          <w:rFonts w:hint="eastAsia"/>
          <w:sz w:val="24"/>
          <w:lang w:eastAsia="zh-CN"/>
        </w:rPr>
        <w:t>”</w:t>
      </w:r>
      <w:r>
        <w:rPr>
          <w:rFonts w:hint="eastAsia"/>
          <w:sz w:val="24"/>
        </w:rPr>
        <w:t>政府采购一体化平台</w:t>
      </w:r>
      <w:r>
        <w:rPr>
          <w:sz w:val="24"/>
        </w:rPr>
        <w:t>。</w:t>
      </w:r>
    </w:p>
    <w:p w14:paraId="5B9243A3">
      <w:pPr>
        <w:keepNext w:val="0"/>
        <w:keepLines w:val="0"/>
        <w:pageBreakBefore w:val="0"/>
        <w:widowControl w:val="0"/>
        <w:numPr>
          <w:ilvl w:val="0"/>
          <w:numId w:val="9"/>
        </w:numPr>
        <w:tabs>
          <w:tab w:val="left" w:pos="360"/>
        </w:tabs>
        <w:spacing w:line="360" w:lineRule="auto"/>
        <w:ind w:left="0" w:firstLine="480"/>
        <w:outlineLvl w:val="1"/>
        <w:rPr>
          <w:sz w:val="24"/>
        </w:rPr>
      </w:pPr>
      <w:bookmarkStart w:id="416" w:name="_Toc150509288"/>
      <w:bookmarkStart w:id="417" w:name="_Toc151193851"/>
      <w:bookmarkStart w:id="418" w:name="_Toc142311039"/>
      <w:bookmarkStart w:id="419" w:name="_Toc151193707"/>
      <w:bookmarkStart w:id="420" w:name="_Toc265228375"/>
      <w:bookmarkStart w:id="421" w:name="_Toc264969227"/>
      <w:bookmarkStart w:id="422" w:name="_Toc305158805"/>
      <w:bookmarkStart w:id="423" w:name="_Toc520356162"/>
      <w:bookmarkStart w:id="424" w:name="_Toc150774742"/>
      <w:bookmarkStart w:id="425" w:name="_Toc164608651"/>
      <w:bookmarkStart w:id="426" w:name="_Toc164229378"/>
      <w:bookmarkStart w:id="427" w:name="_Toc151193925"/>
      <w:bookmarkStart w:id="428" w:name="_Toc127151738"/>
      <w:bookmarkStart w:id="429" w:name="_Toc195842902"/>
      <w:bookmarkStart w:id="430" w:name="_Toc151193779"/>
      <w:bookmarkStart w:id="431" w:name="_Toc305158879"/>
      <w:bookmarkStart w:id="432" w:name="_Toc164229232"/>
      <w:bookmarkStart w:id="433" w:name="_Toc226965810"/>
      <w:bookmarkStart w:id="434" w:name="_Toc150774637"/>
      <w:bookmarkStart w:id="435" w:name="_Toc164351631"/>
      <w:bookmarkStart w:id="436" w:name="_Toc226309781"/>
      <w:bookmarkStart w:id="437" w:name="_Toc150480775"/>
      <w:bookmarkStart w:id="438" w:name="_Toc127161451"/>
      <w:bookmarkStart w:id="439" w:name="_Toc164608806"/>
      <w:bookmarkStart w:id="440" w:name="_Toc127151537"/>
      <w:bookmarkStart w:id="441" w:name="_Toc226337233"/>
      <w:bookmarkStart w:id="442" w:name="_Toc151193635"/>
      <w:bookmarkStart w:id="443" w:name="_Toc149720830"/>
      <w:bookmarkStart w:id="444" w:name="_Toc226965727"/>
      <w:bookmarkStart w:id="445" w:name="_Toc151190164"/>
      <w:r>
        <w:rPr>
          <w:sz w:val="24"/>
        </w:rPr>
        <w:t>响应文件的修改与撤回</w:t>
      </w:r>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14:paraId="41254291">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提交响应文件截止时间前，供应商可以通过电子交易平台对所提交的响应文件进行补充、修改或者撤回。</w:t>
      </w:r>
    </w:p>
    <w:p w14:paraId="5E5FDC5F">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供应商对响应文件的补充、修改的内容应当按照竞争性磋商文件要求签署、盖章，作为响应文件的组成部分。补充、修改的内容与响应文件不一致的，以补充、修改的内容为准。</w:t>
      </w:r>
    </w:p>
    <w:p w14:paraId="1E01671C">
      <w:pPr>
        <w:tabs>
          <w:tab w:val="left" w:pos="900"/>
          <w:tab w:val="left" w:pos="1080"/>
          <w:tab w:val="left" w:pos="1589"/>
        </w:tabs>
        <w:spacing w:line="360" w:lineRule="auto"/>
        <w:ind w:left="357"/>
        <w:rPr>
          <w:sz w:val="24"/>
        </w:rPr>
      </w:pPr>
    </w:p>
    <w:p w14:paraId="2C7CFA25">
      <w:pPr>
        <w:pStyle w:val="184"/>
        <w:spacing w:before="0" w:line="360" w:lineRule="auto"/>
        <w:rPr>
          <w:rFonts w:ascii="Times New Roman" w:hAnsi="Times New Roman" w:eastAsia="宋体"/>
          <w:sz w:val="28"/>
        </w:rPr>
      </w:pPr>
      <w:bookmarkStart w:id="446" w:name="_Toc150774743"/>
      <w:bookmarkStart w:id="447" w:name="_Toc195842903"/>
      <w:bookmarkStart w:id="448" w:name="_Toc151193926"/>
      <w:bookmarkStart w:id="449" w:name="_Toc151193708"/>
      <w:bookmarkStart w:id="450" w:name="_Toc305158880"/>
      <w:bookmarkStart w:id="451" w:name="_Toc150480776"/>
      <w:bookmarkStart w:id="452" w:name="_Toc151193780"/>
      <w:bookmarkStart w:id="453" w:name="_Toc305158806"/>
      <w:bookmarkStart w:id="454" w:name="_Toc150774638"/>
      <w:bookmarkStart w:id="455" w:name="_Toc520356163"/>
      <w:bookmarkStart w:id="456" w:name="_Toc226965728"/>
      <w:bookmarkStart w:id="457" w:name="_Toc265228376"/>
      <w:bookmarkStart w:id="458" w:name="_Toc142311040"/>
      <w:bookmarkStart w:id="459" w:name="_Toc226337234"/>
      <w:bookmarkStart w:id="460" w:name="_Toc150509289"/>
      <w:bookmarkStart w:id="461" w:name="_Toc226309782"/>
      <w:bookmarkStart w:id="462" w:name="_Toc226965811"/>
      <w:bookmarkStart w:id="463" w:name="_Toc151190165"/>
      <w:bookmarkStart w:id="464" w:name="_Toc264969228"/>
      <w:bookmarkStart w:id="465" w:name="_Toc151193852"/>
      <w:bookmarkStart w:id="466" w:name="_Toc151193636"/>
      <w:bookmarkStart w:id="467" w:name="_Toc127151538"/>
      <w:r>
        <w:rPr>
          <w:rFonts w:ascii="Times New Roman" w:hAnsi="Times New Roman" w:eastAsia="宋体"/>
          <w:sz w:val="28"/>
        </w:rPr>
        <w:t xml:space="preserve">五   </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r>
        <w:rPr>
          <w:rFonts w:ascii="Times New Roman" w:hAnsi="Times New Roman" w:eastAsia="宋体"/>
          <w:sz w:val="28"/>
        </w:rPr>
        <w:t>评审</w:t>
      </w:r>
    </w:p>
    <w:p w14:paraId="5617B647">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响应文件的</w:t>
      </w:r>
      <w:r>
        <w:rPr>
          <w:rFonts w:hint="eastAsia"/>
          <w:sz w:val="24"/>
        </w:rPr>
        <w:t>解密与</w:t>
      </w:r>
      <w:r>
        <w:rPr>
          <w:sz w:val="24"/>
        </w:rPr>
        <w:t>开启</w:t>
      </w:r>
    </w:p>
    <w:p w14:paraId="0743863C">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采购人或采购代理机构将按竞争性磋商文件的规定，在响应文件提交截止时间的同一时间和竞争性磋商文件预先确定的地点开启响应文件。</w:t>
      </w:r>
    </w:p>
    <w:p w14:paraId="2F4F6E6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本项目</w:t>
      </w:r>
      <w:r>
        <w:rPr>
          <w:rFonts w:ascii="宋体" w:hAnsi="宋体"/>
          <w:sz w:val="24"/>
        </w:rPr>
        <w:t>采用不见面招</w:t>
      </w:r>
      <w:r>
        <w:rPr>
          <w:rFonts w:hint="eastAsia" w:ascii="宋体" w:hAnsi="宋体"/>
          <w:sz w:val="24"/>
        </w:rPr>
        <w:t>交易</w:t>
      </w:r>
      <w:r>
        <w:rPr>
          <w:rFonts w:ascii="宋体" w:hAnsi="宋体"/>
          <w:sz w:val="24"/>
        </w:rPr>
        <w:t>模式</w:t>
      </w:r>
      <w:r>
        <w:rPr>
          <w:rFonts w:hint="eastAsia" w:ascii="宋体" w:hAnsi="宋体"/>
          <w:sz w:val="24"/>
        </w:rPr>
        <w:t>，</w:t>
      </w:r>
      <w:r>
        <w:rPr>
          <w:sz w:val="24"/>
        </w:rPr>
        <w:t>使用</w:t>
      </w:r>
      <w:r>
        <w:rPr>
          <w:rFonts w:hint="eastAsia"/>
          <w:sz w:val="24"/>
          <w:lang w:eastAsia="zh-CN"/>
        </w:rPr>
        <w:t>“</w:t>
      </w:r>
      <w:r>
        <w:rPr>
          <w:rFonts w:hint="eastAsia"/>
          <w:sz w:val="24"/>
        </w:rPr>
        <w:t>苏采云</w:t>
      </w:r>
      <w:r>
        <w:rPr>
          <w:rFonts w:hint="eastAsia"/>
          <w:sz w:val="24"/>
          <w:lang w:eastAsia="zh-CN"/>
        </w:rPr>
        <w:t>”</w:t>
      </w:r>
      <w:r>
        <w:rPr>
          <w:rFonts w:hint="eastAsia"/>
          <w:sz w:val="24"/>
        </w:rPr>
        <w:t>政府采购一体化平台在线进行</w:t>
      </w:r>
      <w:r>
        <w:rPr>
          <w:sz w:val="24"/>
        </w:rPr>
        <w:t>解密。供应商应在规定的时间内对</w:t>
      </w:r>
      <w:r>
        <w:rPr>
          <w:rFonts w:hint="eastAsia"/>
          <w:sz w:val="24"/>
        </w:rPr>
        <w:t>响应</w:t>
      </w:r>
      <w:r>
        <w:rPr>
          <w:sz w:val="24"/>
        </w:rPr>
        <w:t>文件进行解密，因非系统原因导致的解密失败，视为</w:t>
      </w:r>
      <w:r>
        <w:rPr>
          <w:b/>
          <w:sz w:val="24"/>
        </w:rPr>
        <w:t>响应无效</w:t>
      </w:r>
      <w:r>
        <w:rPr>
          <w:sz w:val="24"/>
        </w:rPr>
        <w:t>。</w:t>
      </w:r>
    </w:p>
    <w:p w14:paraId="516F84BB">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供应商不足3家的，不予解密。</w:t>
      </w:r>
    </w:p>
    <w:p w14:paraId="1BD2A011">
      <w:pPr>
        <w:keepNext w:val="0"/>
        <w:keepLines w:val="0"/>
        <w:pageBreakBefore w:val="0"/>
        <w:widowControl w:val="0"/>
        <w:numPr>
          <w:ilvl w:val="1"/>
          <w:numId w:val="9"/>
        </w:numPr>
        <w:tabs>
          <w:tab w:val="left" w:pos="1080"/>
          <w:tab w:val="left" w:pos="2014"/>
        </w:tabs>
        <w:spacing w:line="360" w:lineRule="auto"/>
        <w:ind w:left="0" w:firstLine="480"/>
        <w:rPr>
          <w:rFonts w:hint="eastAsia"/>
          <w:sz w:val="24"/>
        </w:rPr>
      </w:pPr>
      <w:bookmarkStart w:id="468" w:name="_Toc520356165"/>
      <w:r>
        <w:rPr>
          <w:sz w:val="24"/>
        </w:rPr>
        <w:t>本项目不公开报价。</w:t>
      </w:r>
    </w:p>
    <w:p w14:paraId="5A76CA27">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供应商须在开标前使用</w:t>
      </w:r>
      <w:r>
        <w:rPr>
          <w:rFonts w:hint="eastAsia"/>
          <w:sz w:val="24"/>
          <w:lang w:eastAsia="zh-CN"/>
        </w:rPr>
        <w:t>“</w:t>
      </w:r>
      <w:r>
        <w:rPr>
          <w:sz w:val="24"/>
        </w:rPr>
        <w:t>验证CA</w:t>
      </w:r>
      <w:r>
        <w:rPr>
          <w:rFonts w:hint="eastAsia"/>
          <w:sz w:val="24"/>
          <w:lang w:eastAsia="zh-CN"/>
        </w:rPr>
        <w:t>”</w:t>
      </w:r>
      <w:r>
        <w:rPr>
          <w:sz w:val="24"/>
        </w:rPr>
        <w:t>功能验证本地计算机的控件环境是否正常，并且在</w:t>
      </w:r>
      <w:r>
        <w:rPr>
          <w:rFonts w:hint="eastAsia"/>
          <w:sz w:val="24"/>
        </w:rPr>
        <w:t>解密、评审</w:t>
      </w:r>
      <w:r>
        <w:rPr>
          <w:sz w:val="24"/>
        </w:rPr>
        <w:t>过程中不可随意更换</w:t>
      </w:r>
      <w:r>
        <w:rPr>
          <w:rFonts w:hint="eastAsia"/>
          <w:sz w:val="24"/>
        </w:rPr>
        <w:t>计算机</w:t>
      </w:r>
      <w:r>
        <w:rPr>
          <w:sz w:val="24"/>
        </w:rPr>
        <w:t>，必须使用验证成功的计算机进行操作，否则造成相应后果由供应商自行承担。本地计算机</w:t>
      </w:r>
      <w:r>
        <w:rPr>
          <w:rFonts w:hint="eastAsia"/>
          <w:sz w:val="24"/>
        </w:rPr>
        <w:t>要求安装摄像头、麦克风和音箱，保持网络通畅。</w:t>
      </w:r>
    </w:p>
    <w:p w14:paraId="2D44D005">
      <w:pPr>
        <w:keepNext w:val="0"/>
        <w:keepLines w:val="0"/>
        <w:pageBreakBefore w:val="0"/>
        <w:widowControl w:val="0"/>
        <w:numPr>
          <w:ilvl w:val="1"/>
          <w:numId w:val="9"/>
        </w:numPr>
        <w:tabs>
          <w:tab w:val="left" w:pos="1080"/>
          <w:tab w:val="left" w:pos="2014"/>
        </w:tabs>
        <w:spacing w:line="360" w:lineRule="auto"/>
        <w:ind w:left="0" w:firstLine="480"/>
        <w:rPr>
          <w:sz w:val="24"/>
        </w:rPr>
      </w:pPr>
      <w:r>
        <w:rPr>
          <w:rFonts w:hint="eastAsia"/>
          <w:sz w:val="24"/>
        </w:rPr>
        <w:t>因本项目</w:t>
      </w:r>
      <w:r>
        <w:rPr>
          <w:sz w:val="24"/>
        </w:rPr>
        <w:t>采用不见面交易的</w:t>
      </w:r>
      <w:r>
        <w:rPr>
          <w:rFonts w:hint="eastAsia"/>
          <w:sz w:val="24"/>
        </w:rPr>
        <w:t>方式</w:t>
      </w:r>
      <w:r>
        <w:rPr>
          <w:sz w:val="24"/>
        </w:rPr>
        <w:t>，在</w:t>
      </w:r>
      <w:r>
        <w:rPr>
          <w:rFonts w:hint="eastAsia"/>
          <w:sz w:val="24"/>
        </w:rPr>
        <w:t>解密、评审</w:t>
      </w:r>
      <w:r>
        <w:rPr>
          <w:sz w:val="24"/>
        </w:rPr>
        <w:t>过程中，</w:t>
      </w:r>
      <w:r>
        <w:rPr>
          <w:rFonts w:hint="eastAsia"/>
          <w:sz w:val="24"/>
        </w:rPr>
        <w:t>供应商</w:t>
      </w:r>
      <w:r>
        <w:rPr>
          <w:sz w:val="24"/>
        </w:rPr>
        <w:t>需</w:t>
      </w:r>
      <w:r>
        <w:rPr>
          <w:rFonts w:hint="eastAsia"/>
          <w:sz w:val="24"/>
        </w:rPr>
        <w:t>要</w:t>
      </w:r>
      <w:r>
        <w:rPr>
          <w:sz w:val="24"/>
        </w:rPr>
        <w:t>保持操作计算机前有相关责任人</w:t>
      </w:r>
      <w:r>
        <w:rPr>
          <w:rFonts w:hint="eastAsia"/>
          <w:sz w:val="24"/>
        </w:rPr>
        <w:t>值守，及时对于系统或者磋商小组发出的指令和要求进行响应操作。如果因为无人值守造成不能及时回应系统或者磋商小组指令和要求从而导致影响开标、评审结果的，责任由供应商承担</w:t>
      </w:r>
      <w:r>
        <w:rPr>
          <w:sz w:val="24"/>
        </w:rPr>
        <w:t>。</w:t>
      </w:r>
    </w:p>
    <w:p w14:paraId="01994728">
      <w:pPr>
        <w:keepNext w:val="0"/>
        <w:keepLines w:val="0"/>
        <w:pageBreakBefore w:val="0"/>
        <w:widowControl w:val="0"/>
        <w:numPr>
          <w:ilvl w:val="1"/>
          <w:numId w:val="9"/>
        </w:numPr>
        <w:tabs>
          <w:tab w:val="left" w:pos="1080"/>
          <w:tab w:val="left" w:pos="2014"/>
        </w:tabs>
        <w:spacing w:line="360" w:lineRule="auto"/>
        <w:ind w:left="0" w:firstLine="480"/>
        <w:rPr>
          <w:sz w:val="24"/>
        </w:rPr>
      </w:pPr>
      <w:r>
        <w:rPr>
          <w:rFonts w:hint="eastAsia"/>
          <w:sz w:val="24"/>
        </w:rPr>
        <w:t>如果在</w:t>
      </w:r>
      <w:r>
        <w:rPr>
          <w:sz w:val="24"/>
        </w:rPr>
        <w:t>采购</w:t>
      </w:r>
      <w:r>
        <w:rPr>
          <w:rFonts w:hint="eastAsia"/>
          <w:sz w:val="24"/>
        </w:rPr>
        <w:t>活动</w:t>
      </w:r>
      <w:r>
        <w:rPr>
          <w:sz w:val="24"/>
        </w:rPr>
        <w:t>过程中出现以下情形，导致</w:t>
      </w:r>
      <w:r>
        <w:rPr>
          <w:rFonts w:hint="eastAsia"/>
          <w:sz w:val="24"/>
          <w:lang w:eastAsia="zh-CN" w:bidi="ar"/>
        </w:rPr>
        <w:t>“苏采云”政府采购一体化平台</w:t>
      </w:r>
      <w:r>
        <w:rPr>
          <w:rFonts w:hint="eastAsia"/>
          <w:sz w:val="24"/>
        </w:rPr>
        <w:t>系统</w:t>
      </w:r>
      <w:r>
        <w:rPr>
          <w:sz w:val="24"/>
        </w:rPr>
        <w:t>无法正常运行，或者无法保证</w:t>
      </w:r>
      <w:r>
        <w:rPr>
          <w:rFonts w:hint="eastAsia"/>
          <w:sz w:val="24"/>
        </w:rPr>
        <w:t>本项目采购活动</w:t>
      </w:r>
      <w:r>
        <w:rPr>
          <w:sz w:val="24"/>
        </w:rPr>
        <w:t>的公平、公正和安全时，</w:t>
      </w:r>
      <w:r>
        <w:rPr>
          <w:rFonts w:hint="eastAsia"/>
          <w:sz w:val="24"/>
        </w:rPr>
        <w:t>代理机构</w:t>
      </w:r>
      <w:r>
        <w:rPr>
          <w:sz w:val="24"/>
        </w:rPr>
        <w:t>可</w:t>
      </w:r>
      <w:r>
        <w:rPr>
          <w:rFonts w:hint="eastAsia"/>
          <w:sz w:val="24"/>
        </w:rPr>
        <w:t>以延缓或者暂停采购活动，情况严重的可以终止采购</w:t>
      </w:r>
      <w:r>
        <w:rPr>
          <w:sz w:val="24"/>
        </w:rPr>
        <w:t>活动：</w:t>
      </w:r>
      <w:r>
        <w:rPr>
          <w:sz w:val="24"/>
        </w:rPr>
        <w:br w:type="textWrapping" w:clear="all"/>
      </w:r>
      <w:r>
        <w:rPr>
          <w:rFonts w:hint="eastAsia"/>
          <w:sz w:val="24"/>
          <w:lang w:val="en-US" w:eastAsia="zh-CN"/>
        </w:rPr>
        <w:t xml:space="preserve">    </w:t>
      </w:r>
      <w:r>
        <w:rPr>
          <w:rFonts w:hint="eastAsia"/>
          <w:sz w:val="24"/>
        </w:rPr>
        <w:t>1)</w:t>
      </w:r>
      <w:r>
        <w:rPr>
          <w:sz w:val="24"/>
        </w:rPr>
        <w:t>平台</w:t>
      </w:r>
      <w:r>
        <w:rPr>
          <w:rFonts w:hint="eastAsia"/>
          <w:sz w:val="24"/>
        </w:rPr>
        <w:t>系统</w:t>
      </w:r>
      <w:r>
        <w:rPr>
          <w:sz w:val="24"/>
        </w:rPr>
        <w:t>发生故障而无法登录访问的；</w:t>
      </w:r>
    </w:p>
    <w:p w14:paraId="7A4E5241">
      <w:pPr>
        <w:keepNext w:val="0"/>
        <w:keepLines w:val="0"/>
        <w:pageBreakBefore w:val="0"/>
        <w:widowControl w:val="0"/>
        <w:tabs>
          <w:tab w:val="left" w:pos="1080"/>
          <w:tab w:val="left" w:pos="1589"/>
          <w:tab w:val="left" w:pos="2014"/>
        </w:tabs>
        <w:spacing w:line="360" w:lineRule="auto"/>
        <w:ind w:firstLine="480"/>
        <w:rPr>
          <w:sz w:val="24"/>
        </w:rPr>
      </w:pPr>
      <w:r>
        <w:rPr>
          <w:rFonts w:hint="eastAsia"/>
          <w:sz w:val="24"/>
        </w:rPr>
        <w:t>2)</w:t>
      </w:r>
      <w:r>
        <w:rPr>
          <w:sz w:val="24"/>
        </w:rPr>
        <w:t>平台</w:t>
      </w:r>
      <w:r>
        <w:rPr>
          <w:rFonts w:hint="eastAsia"/>
          <w:sz w:val="24"/>
        </w:rPr>
        <w:t>系统</w:t>
      </w:r>
      <w:r>
        <w:rPr>
          <w:sz w:val="24"/>
        </w:rPr>
        <w:t>应用或数据库出现错误，不能进行正常操作的；</w:t>
      </w:r>
    </w:p>
    <w:p w14:paraId="2AADC852">
      <w:pPr>
        <w:keepNext w:val="0"/>
        <w:keepLines w:val="0"/>
        <w:pageBreakBefore w:val="0"/>
        <w:widowControl w:val="0"/>
        <w:tabs>
          <w:tab w:val="left" w:pos="1080"/>
          <w:tab w:val="left" w:pos="1589"/>
          <w:tab w:val="left" w:pos="2014"/>
        </w:tabs>
        <w:spacing w:line="360" w:lineRule="auto"/>
        <w:ind w:firstLine="480"/>
        <w:rPr>
          <w:sz w:val="24"/>
        </w:rPr>
      </w:pPr>
      <w:r>
        <w:rPr>
          <w:rFonts w:hint="eastAsia"/>
          <w:sz w:val="24"/>
        </w:rPr>
        <w:t>3)</w:t>
      </w:r>
      <w:r>
        <w:rPr>
          <w:sz w:val="24"/>
        </w:rPr>
        <w:t>平台</w:t>
      </w:r>
      <w:r>
        <w:rPr>
          <w:rFonts w:hint="eastAsia"/>
          <w:sz w:val="24"/>
        </w:rPr>
        <w:t>系统</w:t>
      </w:r>
      <w:r>
        <w:rPr>
          <w:sz w:val="24"/>
        </w:rPr>
        <w:t>发现严重安全漏洞，有潜在泄密危险的；</w:t>
      </w:r>
    </w:p>
    <w:p w14:paraId="058BBF2C">
      <w:pPr>
        <w:keepNext w:val="0"/>
        <w:keepLines w:val="0"/>
        <w:pageBreakBefore w:val="0"/>
        <w:widowControl w:val="0"/>
        <w:tabs>
          <w:tab w:val="left" w:pos="1080"/>
          <w:tab w:val="left" w:pos="1589"/>
          <w:tab w:val="left" w:pos="2014"/>
        </w:tabs>
        <w:spacing w:line="360" w:lineRule="auto"/>
        <w:ind w:firstLine="480"/>
        <w:rPr>
          <w:sz w:val="24"/>
        </w:rPr>
      </w:pPr>
      <w:r>
        <w:rPr>
          <w:rFonts w:hint="eastAsia"/>
          <w:sz w:val="24"/>
        </w:rPr>
        <w:t>4)</w:t>
      </w:r>
      <w:r>
        <w:rPr>
          <w:sz w:val="24"/>
        </w:rPr>
        <w:t>病毒发作导致平台</w:t>
      </w:r>
      <w:r>
        <w:rPr>
          <w:rFonts w:hint="eastAsia"/>
          <w:sz w:val="24"/>
        </w:rPr>
        <w:t>系统</w:t>
      </w:r>
      <w:r>
        <w:rPr>
          <w:sz w:val="24"/>
        </w:rPr>
        <w:t>不能进行正常操作的；</w:t>
      </w:r>
    </w:p>
    <w:p w14:paraId="02AFC11F">
      <w:pPr>
        <w:keepNext w:val="0"/>
        <w:keepLines w:val="0"/>
        <w:pageBreakBefore w:val="0"/>
        <w:widowControl w:val="0"/>
        <w:tabs>
          <w:tab w:val="left" w:pos="1080"/>
          <w:tab w:val="left" w:pos="1589"/>
          <w:tab w:val="left" w:pos="2014"/>
        </w:tabs>
        <w:spacing w:line="360" w:lineRule="auto"/>
        <w:ind w:firstLine="480"/>
        <w:rPr>
          <w:rFonts w:hint="eastAsia"/>
          <w:sz w:val="24"/>
        </w:rPr>
      </w:pPr>
      <w:r>
        <w:rPr>
          <w:rFonts w:hint="eastAsia"/>
          <w:sz w:val="24"/>
        </w:rPr>
        <w:t>5)</w:t>
      </w:r>
      <w:r>
        <w:rPr>
          <w:sz w:val="24"/>
        </w:rPr>
        <w:t>其他无法保证</w:t>
      </w:r>
      <w:r>
        <w:rPr>
          <w:rFonts w:hint="eastAsia"/>
          <w:sz w:val="24"/>
        </w:rPr>
        <w:t>本次采购活动</w:t>
      </w:r>
      <w:r>
        <w:rPr>
          <w:sz w:val="24"/>
        </w:rPr>
        <w:t>的公平、公正和安全的情况。</w:t>
      </w:r>
    </w:p>
    <w:p w14:paraId="4CB30339">
      <w:pPr>
        <w:keepNext w:val="0"/>
        <w:keepLines w:val="0"/>
        <w:pageBreakBefore w:val="0"/>
        <w:widowControl w:val="0"/>
        <w:tabs>
          <w:tab w:val="left" w:pos="993"/>
          <w:tab w:val="left" w:pos="1589"/>
          <w:tab w:val="left" w:pos="2014"/>
        </w:tabs>
        <w:spacing w:line="360" w:lineRule="auto"/>
        <w:ind w:left="0" w:firstLine="480"/>
        <w:rPr>
          <w:sz w:val="24"/>
        </w:rPr>
      </w:pPr>
      <w:r>
        <w:rPr>
          <w:sz w:val="24"/>
        </w:rPr>
        <w:t>出现</w:t>
      </w:r>
      <w:r>
        <w:rPr>
          <w:rFonts w:hint="eastAsia"/>
          <w:sz w:val="24"/>
        </w:rPr>
        <w:t>上述</w:t>
      </w:r>
      <w:r>
        <w:rPr>
          <w:sz w:val="24"/>
        </w:rPr>
        <w:t>情形，不影响采购</w:t>
      </w:r>
      <w:r>
        <w:rPr>
          <w:rFonts w:hint="eastAsia"/>
          <w:sz w:val="24"/>
        </w:rPr>
        <w:t>活动</w:t>
      </w:r>
      <w:r>
        <w:rPr>
          <w:sz w:val="24"/>
        </w:rPr>
        <w:t>公平、公正性的，</w:t>
      </w:r>
      <w:r>
        <w:rPr>
          <w:rFonts w:hint="eastAsia"/>
          <w:sz w:val="24"/>
        </w:rPr>
        <w:t>代理机构</w:t>
      </w:r>
      <w:r>
        <w:rPr>
          <w:sz w:val="24"/>
        </w:rPr>
        <w:t>可以待上述情形消除后继续组织</w:t>
      </w:r>
      <w:r>
        <w:rPr>
          <w:rFonts w:hint="eastAsia"/>
          <w:sz w:val="24"/>
        </w:rPr>
        <w:t>不见面</w:t>
      </w:r>
      <w:r>
        <w:rPr>
          <w:sz w:val="24"/>
        </w:rPr>
        <w:t>交易</w:t>
      </w:r>
      <w:r>
        <w:rPr>
          <w:rFonts w:hint="eastAsia"/>
          <w:sz w:val="24"/>
        </w:rPr>
        <w:t>采购</w:t>
      </w:r>
      <w:r>
        <w:rPr>
          <w:sz w:val="24"/>
        </w:rPr>
        <w:t>活动，也可以决定某些环节以纸质形式进行；影响或可能影响采购</w:t>
      </w:r>
      <w:r>
        <w:rPr>
          <w:rFonts w:hint="eastAsia"/>
          <w:sz w:val="24"/>
        </w:rPr>
        <w:t>活动</w:t>
      </w:r>
      <w:r>
        <w:rPr>
          <w:sz w:val="24"/>
        </w:rPr>
        <w:t>公平、公正性的，应当</w:t>
      </w:r>
      <w:r>
        <w:rPr>
          <w:rFonts w:hint="eastAsia"/>
          <w:sz w:val="24"/>
        </w:rPr>
        <w:t>终止本次项目，</w:t>
      </w:r>
      <w:r>
        <w:rPr>
          <w:sz w:val="24"/>
        </w:rPr>
        <w:t>重新</w:t>
      </w:r>
      <w:r>
        <w:rPr>
          <w:rFonts w:hint="eastAsia"/>
          <w:sz w:val="24"/>
        </w:rPr>
        <w:t>组织</w:t>
      </w:r>
      <w:r>
        <w:rPr>
          <w:sz w:val="24"/>
        </w:rPr>
        <w:t>采购。</w:t>
      </w:r>
    </w:p>
    <w:bookmarkEnd w:id="468"/>
    <w:p w14:paraId="75071DC7">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磋商小组</w:t>
      </w:r>
    </w:p>
    <w:p w14:paraId="39BC192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磋商小组根据政府采购有关规定和本次采购项目的特点进行组建，并负责具体评审事务，独立履行职责。</w:t>
      </w:r>
      <w:bookmarkStart w:id="469" w:name="_Toc520356166"/>
    </w:p>
    <w:p w14:paraId="29C3E32B">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评审专家须符合</w:t>
      </w:r>
      <w:r>
        <w:rPr>
          <w:rFonts w:hint="eastAsia"/>
          <w:sz w:val="24"/>
        </w:rPr>
        <w:t>相关</w:t>
      </w:r>
      <w:r>
        <w:rPr>
          <w:sz w:val="24"/>
        </w:rPr>
        <w:t>规定。依法自行选定评审专家的，采购人和采购代理机构将查询有关信用记录，对具有行贿、受贿、欺诈等不良信用记录的人员，拒绝其参与政府采购活动。</w:t>
      </w:r>
      <w:bookmarkEnd w:id="469"/>
      <w:bookmarkStart w:id="470" w:name="_Toc520356169"/>
    </w:p>
    <w:p w14:paraId="1C5EC975">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评审方法和评审标准</w:t>
      </w:r>
    </w:p>
    <w:p w14:paraId="33AB6D27">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见第三章《评审方法和评审标准》。</w:t>
      </w:r>
    </w:p>
    <w:p w14:paraId="125F0F21">
      <w:pPr>
        <w:tabs>
          <w:tab w:val="left" w:pos="360"/>
          <w:tab w:val="left" w:pos="1080"/>
        </w:tabs>
        <w:spacing w:line="360" w:lineRule="auto"/>
        <w:ind w:left="1080"/>
        <w:rPr>
          <w:sz w:val="24"/>
        </w:rPr>
      </w:pPr>
    </w:p>
    <w:p w14:paraId="57B1FBF6">
      <w:pPr>
        <w:pStyle w:val="184"/>
        <w:spacing w:before="0" w:line="360" w:lineRule="auto"/>
        <w:rPr>
          <w:rFonts w:ascii="Times New Roman" w:hAnsi="Times New Roman" w:eastAsia="宋体"/>
          <w:sz w:val="28"/>
        </w:rPr>
      </w:pPr>
      <w:bookmarkStart w:id="471" w:name="_Toc226309789"/>
      <w:bookmarkStart w:id="472" w:name="_Toc226965735"/>
      <w:bookmarkStart w:id="473" w:name="_Toc151190172"/>
      <w:bookmarkStart w:id="474" w:name="_Toc151193933"/>
      <w:bookmarkStart w:id="475" w:name="_Toc226337241"/>
      <w:bookmarkStart w:id="476" w:name="_Toc226965818"/>
      <w:bookmarkStart w:id="477" w:name="_Toc264969235"/>
      <w:bookmarkStart w:id="478" w:name="_Toc150774645"/>
      <w:bookmarkStart w:id="479" w:name="_Toc150509296"/>
      <w:bookmarkStart w:id="480" w:name="_Toc151193715"/>
      <w:bookmarkStart w:id="481" w:name="_Toc142311047"/>
      <w:bookmarkStart w:id="482" w:name="_Toc265228383"/>
      <w:bookmarkStart w:id="483" w:name="_Toc151193787"/>
      <w:bookmarkStart w:id="484" w:name="_Toc150774750"/>
      <w:bookmarkStart w:id="485" w:name="_Toc127151545"/>
      <w:bookmarkStart w:id="486" w:name="_Toc151193643"/>
      <w:bookmarkStart w:id="487" w:name="_Toc150480783"/>
      <w:bookmarkStart w:id="488" w:name="_Toc305158813"/>
      <w:bookmarkStart w:id="489" w:name="_Toc195842910"/>
      <w:bookmarkStart w:id="490" w:name="_Toc151193859"/>
      <w:bookmarkStart w:id="491" w:name="_Toc305158887"/>
      <w:r>
        <w:rPr>
          <w:rFonts w:ascii="Times New Roman" w:hAnsi="Times New Roman" w:eastAsia="宋体"/>
          <w:sz w:val="28"/>
        </w:rPr>
        <w:t xml:space="preserve">六   </w:t>
      </w:r>
      <w:bookmarkEnd w:id="470"/>
      <w:r>
        <w:rPr>
          <w:rFonts w:ascii="Times New Roman" w:hAnsi="Times New Roman" w:eastAsia="宋体"/>
          <w:sz w:val="28"/>
        </w:rPr>
        <w:t>确定</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Pr>
          <w:rFonts w:ascii="Times New Roman" w:hAnsi="Times New Roman" w:eastAsia="宋体"/>
          <w:sz w:val="28"/>
        </w:rPr>
        <w:t>成交</w:t>
      </w:r>
    </w:p>
    <w:p w14:paraId="218FFD8D">
      <w:pPr>
        <w:keepNext w:val="0"/>
        <w:keepLines w:val="0"/>
        <w:pageBreakBefore w:val="0"/>
        <w:widowControl w:val="0"/>
        <w:numPr>
          <w:ilvl w:val="0"/>
          <w:numId w:val="9"/>
        </w:numPr>
        <w:tabs>
          <w:tab w:val="left" w:pos="360"/>
        </w:tabs>
        <w:spacing w:line="360" w:lineRule="auto"/>
        <w:ind w:left="0" w:firstLine="480"/>
        <w:outlineLvl w:val="1"/>
        <w:rPr>
          <w:sz w:val="24"/>
        </w:rPr>
      </w:pPr>
      <w:bookmarkStart w:id="492" w:name="_Toc151190174"/>
      <w:bookmarkStart w:id="493" w:name="_Toc226965820"/>
      <w:bookmarkStart w:id="494" w:name="_Toc150480785"/>
      <w:bookmarkStart w:id="495" w:name="_Toc151193861"/>
      <w:bookmarkStart w:id="496" w:name="_Toc142311049"/>
      <w:bookmarkStart w:id="497" w:name="_Toc164229388"/>
      <w:bookmarkStart w:id="498" w:name="_Toc127161461"/>
      <w:bookmarkStart w:id="499" w:name="_Toc149720840"/>
      <w:bookmarkStart w:id="500" w:name="_Toc151193935"/>
      <w:bookmarkStart w:id="501" w:name="_Toc226337243"/>
      <w:bookmarkStart w:id="502" w:name="_Toc226309791"/>
      <w:bookmarkStart w:id="503" w:name="_Toc151193645"/>
      <w:bookmarkStart w:id="504" w:name="_Toc305158815"/>
      <w:bookmarkStart w:id="505" w:name="_Toc164608816"/>
      <w:bookmarkStart w:id="506" w:name="_Toc150774647"/>
      <w:bookmarkStart w:id="507" w:name="_Toc265228385"/>
      <w:bookmarkStart w:id="508" w:name="_Toc127151547"/>
      <w:bookmarkStart w:id="509" w:name="_Toc151193789"/>
      <w:bookmarkStart w:id="510" w:name="_Toc164351641"/>
      <w:bookmarkStart w:id="511" w:name="_Toc127151748"/>
      <w:bookmarkStart w:id="512" w:name="_Toc164229242"/>
      <w:bookmarkStart w:id="513" w:name="_Toc195842912"/>
      <w:bookmarkStart w:id="514" w:name="_Toc150509298"/>
      <w:bookmarkStart w:id="515" w:name="_Toc164608661"/>
      <w:bookmarkStart w:id="516" w:name="_Toc305158889"/>
      <w:bookmarkStart w:id="517" w:name="_Toc150774752"/>
      <w:bookmarkStart w:id="518" w:name="_Toc264969237"/>
      <w:bookmarkStart w:id="519" w:name="_Toc151193717"/>
      <w:bookmarkStart w:id="520" w:name="_Toc226965737"/>
      <w:r>
        <w:rPr>
          <w:sz w:val="24"/>
        </w:rPr>
        <w:t>确定成交供应商</w:t>
      </w:r>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3EEA14D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采购人将在收到评审报告后，从评审报告提出的成交候选供应商中，按照排序由高到低的原则确定成交供应商</w:t>
      </w:r>
      <w:r>
        <w:rPr>
          <w:rFonts w:hint="eastAsia"/>
          <w:sz w:val="24"/>
        </w:rPr>
        <w:t>。</w:t>
      </w:r>
      <w:r>
        <w:rPr>
          <w:sz w:val="24"/>
        </w:rPr>
        <w:t>成交候选人并列的，由采购人</w:t>
      </w:r>
      <w:r>
        <w:rPr>
          <w:rFonts w:hint="eastAsia"/>
          <w:sz w:val="24"/>
        </w:rPr>
        <w:t>依法</w:t>
      </w:r>
      <w:r>
        <w:rPr>
          <w:sz w:val="24"/>
        </w:rPr>
        <w:t>确定。</w:t>
      </w:r>
    </w:p>
    <w:p w14:paraId="3F210C1F">
      <w:pPr>
        <w:keepNext w:val="0"/>
        <w:keepLines w:val="0"/>
        <w:pageBreakBefore w:val="0"/>
        <w:widowControl w:val="0"/>
        <w:numPr>
          <w:ilvl w:val="0"/>
          <w:numId w:val="9"/>
        </w:numPr>
        <w:tabs>
          <w:tab w:val="left" w:pos="360"/>
        </w:tabs>
        <w:spacing w:line="360" w:lineRule="auto"/>
        <w:ind w:left="0" w:firstLine="480"/>
        <w:outlineLvl w:val="1"/>
        <w:rPr>
          <w:sz w:val="24"/>
        </w:rPr>
      </w:pPr>
      <w:bookmarkStart w:id="521" w:name="_Toc305158817"/>
      <w:bookmarkStart w:id="522" w:name="_Toc305158891"/>
      <w:bookmarkStart w:id="523" w:name="_Toc164351643"/>
      <w:bookmarkStart w:id="524" w:name="_Toc127151750"/>
      <w:bookmarkStart w:id="525" w:name="_Toc150774754"/>
      <w:bookmarkStart w:id="526" w:name="_Toc151193937"/>
      <w:bookmarkStart w:id="527" w:name="_Toc127151549"/>
      <w:bookmarkStart w:id="528" w:name="_Toc151190176"/>
      <w:bookmarkStart w:id="529" w:name="_Toc164608663"/>
      <w:bookmarkStart w:id="530" w:name="_Toc164229390"/>
      <w:bookmarkStart w:id="531" w:name="_Toc151193719"/>
      <w:bookmarkStart w:id="532" w:name="_Toc151193863"/>
      <w:bookmarkStart w:id="533" w:name="_Toc150480787"/>
      <w:bookmarkStart w:id="534" w:name="_Toc151193791"/>
      <w:bookmarkStart w:id="535" w:name="_Toc226337245"/>
      <w:bookmarkStart w:id="536" w:name="_Toc149720842"/>
      <w:bookmarkStart w:id="537" w:name="_Toc150509300"/>
      <w:bookmarkStart w:id="538" w:name="_Toc264969239"/>
      <w:bookmarkStart w:id="539" w:name="_Toc226309793"/>
      <w:bookmarkStart w:id="540" w:name="_Toc142311051"/>
      <w:bookmarkStart w:id="541" w:name="_Toc164608818"/>
      <w:bookmarkStart w:id="542" w:name="_Toc265228387"/>
      <w:bookmarkStart w:id="543" w:name="_Toc226965739"/>
      <w:bookmarkStart w:id="544" w:name="_Toc151193647"/>
      <w:bookmarkStart w:id="545" w:name="_Toc150774649"/>
      <w:bookmarkStart w:id="546" w:name="_Toc226965822"/>
      <w:bookmarkStart w:id="547" w:name="_Toc195842914"/>
      <w:bookmarkStart w:id="548" w:name="_Toc127161463"/>
      <w:bookmarkStart w:id="549" w:name="_Toc164229244"/>
      <w:bookmarkStart w:id="550" w:name="_Ref467307090"/>
      <w:bookmarkStart w:id="551" w:name="_Ref467306425"/>
      <w:bookmarkStart w:id="552" w:name="_Toc520356176"/>
      <w:r>
        <w:rPr>
          <w:sz w:val="24"/>
        </w:rPr>
        <w:t>成交公告与成交通知书</w:t>
      </w:r>
      <w:bookmarkEnd w:id="521"/>
      <w:bookmarkEnd w:id="522"/>
    </w:p>
    <w:p w14:paraId="218DDDA1">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采购人或采购代理机构将在成交供应商确定后2个工作日内，在</w:t>
      </w:r>
      <w:r>
        <w:rPr>
          <w:rFonts w:hint="eastAsia"/>
          <w:sz w:val="24"/>
        </w:rPr>
        <w:t>常州市政府采购网</w:t>
      </w:r>
      <w:r>
        <w:rPr>
          <w:sz w:val="24"/>
        </w:rPr>
        <w:t>公告成交结果，同时向成交供应商发出成交通知书，成交公告期限为1个工作日。</w:t>
      </w:r>
    </w:p>
    <w:p w14:paraId="69E3806A">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14:paraId="52FCB398">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终止</w:t>
      </w:r>
    </w:p>
    <w:p w14:paraId="253DAD96">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在采购中，出现下列情形之一的，采购人或采购代理机构将终止竞争性磋商采购活动，发布项目终止公告并说明原因，重新开展采购活动：</w:t>
      </w:r>
    </w:p>
    <w:p w14:paraId="10B2B6F5">
      <w:pPr>
        <w:keepNext w:val="0"/>
        <w:keepLines w:val="0"/>
        <w:pageBreakBefore w:val="0"/>
        <w:widowControl w:val="0"/>
        <w:numPr>
          <w:ilvl w:val="2"/>
          <w:numId w:val="9"/>
        </w:numPr>
        <w:spacing w:line="360" w:lineRule="auto"/>
        <w:ind w:left="0" w:firstLine="480"/>
        <w:rPr>
          <w:sz w:val="24"/>
        </w:rPr>
      </w:pPr>
      <w:r>
        <w:rPr>
          <w:sz w:val="24"/>
        </w:rPr>
        <w:t>因情况变化，不再符合规定的竞争性磋商采购方式适用情形的；</w:t>
      </w:r>
    </w:p>
    <w:p w14:paraId="7D7B9720">
      <w:pPr>
        <w:keepNext w:val="0"/>
        <w:keepLines w:val="0"/>
        <w:pageBreakBefore w:val="0"/>
        <w:widowControl w:val="0"/>
        <w:numPr>
          <w:ilvl w:val="2"/>
          <w:numId w:val="9"/>
        </w:numPr>
        <w:spacing w:line="360" w:lineRule="auto"/>
        <w:ind w:left="0" w:firstLine="480"/>
        <w:rPr>
          <w:sz w:val="24"/>
        </w:rPr>
      </w:pPr>
      <w:r>
        <w:rPr>
          <w:sz w:val="24"/>
        </w:rPr>
        <w:t>出现影响采购公正的违法、违规行为的；</w:t>
      </w:r>
    </w:p>
    <w:p w14:paraId="0503266C">
      <w:pPr>
        <w:keepNext w:val="0"/>
        <w:keepLines w:val="0"/>
        <w:pageBreakBefore w:val="0"/>
        <w:widowControl w:val="0"/>
        <w:numPr>
          <w:ilvl w:val="2"/>
          <w:numId w:val="9"/>
        </w:numPr>
        <w:spacing w:line="360" w:lineRule="auto"/>
        <w:ind w:left="0" w:firstLine="480"/>
        <w:rPr>
          <w:rFonts w:hint="eastAsia"/>
          <w:sz w:val="24"/>
        </w:rPr>
      </w:pPr>
      <w:r>
        <w:rPr>
          <w:sz w:val="24"/>
          <w:szCs w:val="20"/>
        </w:rPr>
        <w:t>除了</w:t>
      </w:r>
      <w:r>
        <w:rPr>
          <w:rFonts w:hint="eastAsia"/>
          <w:sz w:val="24"/>
          <w:szCs w:val="20"/>
          <w:lang w:eastAsia="zh-CN"/>
        </w:rPr>
        <w:t>“</w:t>
      </w:r>
      <w:r>
        <w:rPr>
          <w:sz w:val="24"/>
          <w:szCs w:val="20"/>
        </w:rPr>
        <w:t>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rPr>
          <w:rFonts w:hint="eastAsia"/>
          <w:sz w:val="24"/>
          <w:szCs w:val="20"/>
          <w:lang w:eastAsia="zh-CN"/>
        </w:rPr>
        <w:t>”</w:t>
      </w:r>
      <w:r>
        <w:rPr>
          <w:sz w:val="24"/>
          <w:szCs w:val="20"/>
        </w:rPr>
        <w:t>的情形外，在采购过程中符合要求的供应商或者报价未超过采购预算的供应商不足3家的。</w:t>
      </w:r>
    </w:p>
    <w:p w14:paraId="4CA5D3FA">
      <w:pPr>
        <w:keepNext w:val="0"/>
        <w:keepLines w:val="0"/>
        <w:pageBreakBefore w:val="0"/>
        <w:widowControl w:val="0"/>
        <w:numPr>
          <w:ilvl w:val="2"/>
          <w:numId w:val="9"/>
        </w:numPr>
        <w:spacing w:line="360" w:lineRule="auto"/>
        <w:ind w:left="0" w:firstLine="488"/>
        <w:rPr>
          <w:sz w:val="24"/>
        </w:rPr>
      </w:pPr>
      <w:r>
        <w:rPr>
          <w:rFonts w:hint="eastAsia" w:ascii="宋体" w:hAnsi="宋体"/>
          <w:spacing w:val="2"/>
          <w:sz w:val="24"/>
        </w:rPr>
        <w:t>平台系统</w:t>
      </w:r>
      <w:r>
        <w:rPr>
          <w:rFonts w:ascii="宋体" w:hAnsi="宋体"/>
          <w:sz w:val="24"/>
        </w:rPr>
        <w:t>出现</w:t>
      </w:r>
      <w:r>
        <w:rPr>
          <w:rFonts w:hint="eastAsia" w:ascii="宋体" w:hAnsi="宋体"/>
          <w:sz w:val="24"/>
        </w:rPr>
        <w:t>序号17.7的所述</w:t>
      </w:r>
      <w:r>
        <w:rPr>
          <w:rFonts w:ascii="宋体" w:hAnsi="宋体"/>
          <w:sz w:val="24"/>
        </w:rPr>
        <w:t>情形，</w:t>
      </w:r>
      <w:r>
        <w:rPr>
          <w:rFonts w:hint="eastAsia" w:ascii="宋体" w:hAnsi="宋体"/>
          <w:sz w:val="24"/>
        </w:rPr>
        <w:t>情况严重且</w:t>
      </w:r>
      <w:r>
        <w:rPr>
          <w:rFonts w:ascii="宋体" w:hAnsi="宋体"/>
          <w:sz w:val="24"/>
        </w:rPr>
        <w:t>影响采购</w:t>
      </w:r>
      <w:r>
        <w:rPr>
          <w:rFonts w:hint="eastAsia" w:ascii="宋体" w:hAnsi="宋体"/>
          <w:sz w:val="24"/>
        </w:rPr>
        <w:t>活动</w:t>
      </w:r>
      <w:r>
        <w:rPr>
          <w:rFonts w:ascii="宋体" w:hAnsi="宋体"/>
          <w:sz w:val="24"/>
        </w:rPr>
        <w:t>公平、公正性的</w:t>
      </w:r>
      <w:r>
        <w:rPr>
          <w:rFonts w:hint="eastAsia" w:ascii="宋体" w:hAnsi="宋体"/>
          <w:sz w:val="24"/>
        </w:rPr>
        <w:t>。</w:t>
      </w:r>
    </w:p>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p w14:paraId="0FCC1DE5">
      <w:pPr>
        <w:keepNext w:val="0"/>
        <w:keepLines w:val="0"/>
        <w:pageBreakBefore w:val="0"/>
        <w:widowControl w:val="0"/>
        <w:numPr>
          <w:ilvl w:val="0"/>
          <w:numId w:val="9"/>
        </w:numPr>
        <w:tabs>
          <w:tab w:val="left" w:pos="360"/>
        </w:tabs>
        <w:spacing w:line="360" w:lineRule="auto"/>
        <w:ind w:left="0" w:firstLine="480"/>
        <w:outlineLvl w:val="1"/>
        <w:rPr>
          <w:sz w:val="24"/>
        </w:rPr>
      </w:pPr>
      <w:bookmarkStart w:id="553" w:name="_Toc226965823"/>
      <w:bookmarkStart w:id="554" w:name="_Toc127151751"/>
      <w:bookmarkStart w:id="555" w:name="_Toc150509301"/>
      <w:bookmarkStart w:id="556" w:name="_Toc151193648"/>
      <w:bookmarkStart w:id="557" w:name="_Toc150774755"/>
      <w:bookmarkStart w:id="558" w:name="_Toc305158818"/>
      <w:bookmarkStart w:id="559" w:name="_Toc265228388"/>
      <w:bookmarkStart w:id="560" w:name="_Toc127161464"/>
      <w:bookmarkStart w:id="561" w:name="_Toc164608664"/>
      <w:bookmarkStart w:id="562" w:name="_Toc264969240"/>
      <w:bookmarkStart w:id="563" w:name="_Toc127151550"/>
      <w:bookmarkStart w:id="564" w:name="_Toc226309794"/>
      <w:bookmarkStart w:id="565" w:name="_Toc164229245"/>
      <w:bookmarkStart w:id="566" w:name="_Toc520356175"/>
      <w:bookmarkStart w:id="567" w:name="_Toc151193720"/>
      <w:bookmarkStart w:id="568" w:name="_Toc151190177"/>
      <w:bookmarkStart w:id="569" w:name="_Ref467307062"/>
      <w:bookmarkStart w:id="570" w:name="_Toc305158892"/>
      <w:bookmarkStart w:id="571" w:name="_Ref467307204"/>
      <w:bookmarkStart w:id="572" w:name="_Toc164351644"/>
      <w:bookmarkStart w:id="573" w:name="_Toc195842915"/>
      <w:bookmarkStart w:id="574" w:name="_Toc151193864"/>
      <w:bookmarkStart w:id="575" w:name="_Toc142311052"/>
      <w:bookmarkStart w:id="576" w:name="_Toc164229391"/>
      <w:bookmarkStart w:id="577" w:name="_Toc150480788"/>
      <w:bookmarkStart w:id="578" w:name="_Toc226965740"/>
      <w:bookmarkStart w:id="579" w:name="_Toc149720843"/>
      <w:bookmarkStart w:id="580" w:name="_Toc164608819"/>
      <w:bookmarkStart w:id="581" w:name="_Toc151193938"/>
      <w:bookmarkStart w:id="582" w:name="_Toc151193792"/>
      <w:bookmarkStart w:id="583" w:name="_Toc226337246"/>
      <w:bookmarkStart w:id="584" w:name="_Ref467306978"/>
      <w:bookmarkStart w:id="585" w:name="_Toc150774650"/>
      <w:bookmarkStart w:id="586" w:name="_Ref467306377"/>
      <w:r>
        <w:rPr>
          <w:sz w:val="24"/>
        </w:rPr>
        <w:t>签订合同</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p>
    <w:p w14:paraId="38AC1AD5">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14:paraId="6267CE6E">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767768E">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联合体获得成交资格的，联合体各方应当共同与采购人签订合同，就成交项目向采购人承担连带责任。</w:t>
      </w:r>
    </w:p>
    <w:p w14:paraId="29D446B5">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政府采购合同不能转包。</w:t>
      </w:r>
    </w:p>
    <w:p w14:paraId="76B7E763">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50"/>
    <w:bookmarkEnd w:id="551"/>
    <w:bookmarkEnd w:id="552"/>
    <w:p w14:paraId="0724AC5B">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询问与质疑</w:t>
      </w:r>
    </w:p>
    <w:p w14:paraId="11B05FC3">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询问</w:t>
      </w:r>
    </w:p>
    <w:p w14:paraId="10C37F25">
      <w:pPr>
        <w:keepNext w:val="0"/>
        <w:keepLines w:val="0"/>
        <w:pageBreakBefore w:val="0"/>
        <w:widowControl w:val="0"/>
        <w:numPr>
          <w:ilvl w:val="2"/>
          <w:numId w:val="9"/>
        </w:numPr>
        <w:spacing w:line="360" w:lineRule="auto"/>
        <w:ind w:left="0" w:firstLine="480"/>
        <w:rPr>
          <w:sz w:val="24"/>
        </w:rPr>
      </w:pPr>
      <w:r>
        <w:rPr>
          <w:sz w:val="24"/>
        </w:rPr>
        <w:t>供应商对政府采购活动事项有疑问的，可依法提出询问，并按《供应商须知资料表》载明的形式送达采购人或采购代理机构。</w:t>
      </w:r>
    </w:p>
    <w:p w14:paraId="2FCFB164">
      <w:pPr>
        <w:keepNext w:val="0"/>
        <w:keepLines w:val="0"/>
        <w:pageBreakBefore w:val="0"/>
        <w:widowControl w:val="0"/>
        <w:numPr>
          <w:ilvl w:val="2"/>
          <w:numId w:val="9"/>
        </w:numPr>
        <w:spacing w:line="360" w:lineRule="auto"/>
        <w:ind w:left="0" w:firstLine="480"/>
        <w:rPr>
          <w:sz w:val="24"/>
        </w:rPr>
      </w:pPr>
      <w:r>
        <w:rPr>
          <w:sz w:val="24"/>
        </w:rPr>
        <w:t>采购人或采购代理机构对供应商依法提出的询问，在3个工作日内作出答复，但答复的内容不得涉及商业秘密。</w:t>
      </w:r>
    </w:p>
    <w:p w14:paraId="7CBBFB89">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质疑</w:t>
      </w:r>
    </w:p>
    <w:p w14:paraId="2BE1831C">
      <w:pPr>
        <w:keepNext w:val="0"/>
        <w:keepLines w:val="0"/>
        <w:pageBreakBefore w:val="0"/>
        <w:widowControl w:val="0"/>
        <w:numPr>
          <w:ilvl w:val="2"/>
          <w:numId w:val="9"/>
        </w:numPr>
        <w:spacing w:line="360" w:lineRule="auto"/>
        <w:ind w:left="0" w:firstLine="480"/>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03E31643">
      <w:pPr>
        <w:keepNext w:val="0"/>
        <w:keepLines w:val="0"/>
        <w:pageBreakBefore w:val="0"/>
        <w:widowControl w:val="0"/>
        <w:numPr>
          <w:ilvl w:val="2"/>
          <w:numId w:val="9"/>
        </w:numPr>
        <w:spacing w:line="360" w:lineRule="auto"/>
        <w:ind w:left="0" w:firstLine="482"/>
        <w:rPr>
          <w:sz w:val="24"/>
        </w:rPr>
      </w:pPr>
      <w:r>
        <w:rPr>
          <w:rFonts w:hint="eastAsia"/>
          <w:b/>
          <w:sz w:val="24"/>
        </w:rPr>
        <w:t>磋商文件</w:t>
      </w:r>
      <w:r>
        <w:rPr>
          <w:rFonts w:hint="eastAsia" w:ascii="宋体" w:hAnsi="宋体"/>
          <w:b/>
          <w:sz w:val="24"/>
        </w:rPr>
        <w:t>中采购需求以及相关部分（第四章、第五章以及供应商资格要求）由采购人负责制定和管理，对该部分内容有询问或者质疑的，供应商应当向采购人书面提出，由采购人负责接收和回复。</w:t>
      </w:r>
    </w:p>
    <w:p w14:paraId="32D93AC8">
      <w:pPr>
        <w:keepNext w:val="0"/>
        <w:keepLines w:val="0"/>
        <w:pageBreakBefore w:val="0"/>
        <w:widowControl w:val="0"/>
        <w:numPr>
          <w:ilvl w:val="2"/>
          <w:numId w:val="9"/>
        </w:numPr>
        <w:spacing w:line="360" w:lineRule="auto"/>
        <w:ind w:left="0" w:firstLine="480"/>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58"/>
        </w:rPr>
        <w:t>http://gk</w:t>
      </w:r>
      <w:bookmarkStart w:id="587" w:name="_Hlt100654014"/>
      <w:r>
        <w:rPr>
          <w:rStyle w:val="258"/>
        </w:rPr>
        <w:t>s</w:t>
      </w:r>
      <w:bookmarkEnd w:id="587"/>
      <w:r>
        <w:rPr>
          <w:rStyle w:val="258"/>
        </w:rPr>
        <w:t>.m</w:t>
      </w:r>
      <w:bookmarkStart w:id="588" w:name="_Hlt100653993"/>
      <w:bookmarkStart w:id="589" w:name="_Hlt100653994"/>
      <w:r>
        <w:rPr>
          <w:rStyle w:val="258"/>
        </w:rPr>
        <w:t>o</w:t>
      </w:r>
      <w:bookmarkEnd w:id="588"/>
      <w:bookmarkEnd w:id="589"/>
      <w:bookmarkStart w:id="590" w:name="_Hlt101169156"/>
      <w:r>
        <w:rPr>
          <w:rStyle w:val="258"/>
        </w:rPr>
        <w:t>f</w:t>
      </w:r>
      <w:bookmarkEnd w:id="590"/>
      <w:r>
        <w:rPr>
          <w:rStyle w:val="258"/>
        </w:rPr>
        <w:t>.gov.cn/ztztz/zhengfucaigouguanli/201802/t20180201_2804589.htm</w:t>
      </w:r>
      <w:r>
        <w:fldChar w:fldCharType="end"/>
      </w:r>
      <w:r>
        <w:rPr>
          <w:rFonts w:hint="eastAsia"/>
        </w:rPr>
        <w:t>）</w:t>
      </w:r>
    </w:p>
    <w:p w14:paraId="0BCB55AF">
      <w:pPr>
        <w:keepNext w:val="0"/>
        <w:keepLines w:val="0"/>
        <w:pageBreakBefore w:val="0"/>
        <w:widowControl w:val="0"/>
        <w:numPr>
          <w:ilvl w:val="2"/>
          <w:numId w:val="9"/>
        </w:numPr>
        <w:spacing w:line="360" w:lineRule="auto"/>
        <w:ind w:left="0" w:firstLine="480"/>
        <w:rPr>
          <w:sz w:val="24"/>
        </w:rPr>
      </w:pPr>
      <w:r>
        <w:rPr>
          <w:sz w:val="24"/>
        </w:rPr>
        <w:t>供应商为自然人的，应当由本人签字；供应商为法人或者其他组织的，应当由法定代表人、主要负责人，或者其授权代表签字或者盖章，并加盖公章。</w:t>
      </w:r>
    </w:p>
    <w:p w14:paraId="1675924C">
      <w:pPr>
        <w:keepNext w:val="0"/>
        <w:keepLines w:val="0"/>
        <w:pageBreakBefore w:val="0"/>
        <w:widowControl w:val="0"/>
        <w:numPr>
          <w:ilvl w:val="2"/>
          <w:numId w:val="9"/>
        </w:numPr>
        <w:spacing w:line="360" w:lineRule="auto"/>
        <w:ind w:left="0" w:firstLine="480"/>
        <w:rPr>
          <w:sz w:val="24"/>
        </w:rPr>
      </w:pPr>
      <w:r>
        <w:rPr>
          <w:sz w:val="24"/>
        </w:rPr>
        <w:t>供应商应在法定质疑期内一次性提出针对同一采购程序环节的质疑，法定质疑期内针对同一采购程序环节再次提出的质疑，采购人、采购代理机构有权不予答复。</w:t>
      </w:r>
    </w:p>
    <w:p w14:paraId="2A5DEC78">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接收询问和质疑的联系部门、联系电话和通讯地址见《供应商须知资料表》</w:t>
      </w:r>
      <w:r>
        <w:rPr>
          <w:rFonts w:hint="eastAsia"/>
          <w:sz w:val="24"/>
        </w:rPr>
        <w:t>。</w:t>
      </w:r>
    </w:p>
    <w:p w14:paraId="3BF443B0">
      <w:pPr>
        <w:keepNext w:val="0"/>
        <w:keepLines w:val="0"/>
        <w:pageBreakBefore w:val="0"/>
        <w:widowControl w:val="0"/>
        <w:numPr>
          <w:ilvl w:val="0"/>
          <w:numId w:val="9"/>
        </w:numPr>
        <w:tabs>
          <w:tab w:val="left" w:pos="360"/>
        </w:tabs>
        <w:spacing w:line="360" w:lineRule="auto"/>
        <w:ind w:left="0" w:firstLine="480"/>
        <w:outlineLvl w:val="1"/>
        <w:rPr>
          <w:sz w:val="24"/>
        </w:rPr>
      </w:pPr>
      <w:r>
        <w:rPr>
          <w:sz w:val="24"/>
        </w:rPr>
        <w:t>代理费</w:t>
      </w:r>
    </w:p>
    <w:p w14:paraId="2A9C59B5">
      <w:pPr>
        <w:keepNext w:val="0"/>
        <w:keepLines w:val="0"/>
        <w:pageBreakBefore w:val="0"/>
        <w:widowControl w:val="0"/>
        <w:numPr>
          <w:ilvl w:val="1"/>
          <w:numId w:val="9"/>
        </w:numPr>
        <w:tabs>
          <w:tab w:val="left" w:pos="1080"/>
          <w:tab w:val="left" w:pos="2014"/>
        </w:tabs>
        <w:spacing w:line="360" w:lineRule="auto"/>
        <w:ind w:left="0" w:firstLine="480"/>
        <w:rPr>
          <w:sz w:val="24"/>
        </w:rPr>
      </w:pPr>
      <w:r>
        <w:rPr>
          <w:sz w:val="24"/>
        </w:rPr>
        <w:t>收费对象、收费标准及缴纳时间见《供应商须知资料表》。由成交供应商支付的，成交供应商须一次性向采购代理机构缴纳代理费，报价应包含代理费用。</w:t>
      </w:r>
    </w:p>
    <w:p w14:paraId="5B785171">
      <w:pPr>
        <w:keepNext w:val="0"/>
        <w:keepLines w:val="0"/>
        <w:pageBreakBefore w:val="0"/>
        <w:widowControl w:val="0"/>
        <w:numPr>
          <w:ilvl w:val="0"/>
          <w:numId w:val="0"/>
        </w:numPr>
        <w:tabs>
          <w:tab w:val="left" w:pos="1080"/>
          <w:tab w:val="left" w:pos="2014"/>
        </w:tabs>
        <w:spacing w:line="360" w:lineRule="auto"/>
        <w:ind w:firstLine="480"/>
        <w:jc w:val="both"/>
        <w:rPr>
          <w:rFonts w:ascii="宋体" w:hAnsi="宋体" w:eastAsia="宋体" w:cs="宋体"/>
          <w:sz w:val="24"/>
          <w:szCs w:val="24"/>
        </w:rPr>
        <w:sectPr>
          <w:footerReference r:id="rId10" w:type="even"/>
          <w:pgSz w:w="11907" w:h="16840"/>
          <w:pgMar w:top="1440" w:right="1304" w:bottom="1440" w:left="1304" w:header="851" w:footer="851" w:gutter="0"/>
          <w:pgBorders>
            <w:top w:val="none" w:sz="0" w:space="0"/>
            <w:left w:val="none" w:sz="0" w:space="0"/>
            <w:bottom w:val="none" w:sz="0" w:space="0"/>
            <w:right w:val="none" w:sz="0" w:space="0"/>
          </w:pgBorders>
          <w:pgNumType w:fmt="decimal"/>
          <w:cols w:space="1701" w:num="1"/>
          <w:docGrid w:linePitch="360" w:charSpace="0"/>
        </w:sectPr>
      </w:pPr>
    </w:p>
    <w:p w14:paraId="0DA80E14">
      <w:pPr>
        <w:spacing w:line="360" w:lineRule="auto"/>
        <w:jc w:val="center"/>
        <w:outlineLvl w:val="0"/>
        <w:rPr>
          <w:b/>
          <w:sz w:val="36"/>
          <w:szCs w:val="36"/>
        </w:rPr>
      </w:pPr>
      <w:bookmarkStart w:id="591" w:name="_Toc104818927"/>
      <w:r>
        <w:rPr>
          <w:b/>
          <w:sz w:val="36"/>
          <w:szCs w:val="36"/>
        </w:rPr>
        <w:t xml:space="preserve">第三章   </w:t>
      </w:r>
      <w:bookmarkEnd w:id="73"/>
      <w:bookmarkEnd w:id="74"/>
      <w:bookmarkEnd w:id="75"/>
      <w:bookmarkEnd w:id="76"/>
      <w:bookmarkEnd w:id="77"/>
      <w:bookmarkEnd w:id="78"/>
      <w:bookmarkEnd w:id="79"/>
      <w:bookmarkEnd w:id="80"/>
      <w:bookmarkEnd w:id="81"/>
      <w:bookmarkEnd w:id="82"/>
      <w:bookmarkEnd w:id="83"/>
      <w:bookmarkEnd w:id="84"/>
      <w:bookmarkEnd w:id="85"/>
      <w:r>
        <w:rPr>
          <w:b/>
          <w:sz w:val="36"/>
          <w:szCs w:val="36"/>
        </w:rPr>
        <w:t>评审</w:t>
      </w:r>
      <w:r>
        <w:rPr>
          <w:rFonts w:hint="eastAsia"/>
          <w:b/>
          <w:sz w:val="36"/>
          <w:szCs w:val="36"/>
        </w:rPr>
        <w:t>程序、评审</w:t>
      </w:r>
      <w:r>
        <w:rPr>
          <w:b/>
          <w:sz w:val="36"/>
          <w:szCs w:val="36"/>
        </w:rPr>
        <w:t>方法和评审标准</w:t>
      </w:r>
      <w:bookmarkEnd w:id="591"/>
      <w:bookmarkStart w:id="592" w:name="_Toc487900382"/>
    </w:p>
    <w:p w14:paraId="2FB6A031">
      <w:pPr>
        <w:pStyle w:val="184"/>
        <w:spacing w:before="0" w:line="360" w:lineRule="auto"/>
        <w:rPr>
          <w:rFonts w:ascii="Times New Roman" w:hAnsi="Times New Roman" w:eastAsia="宋体"/>
          <w:sz w:val="24"/>
          <w:szCs w:val="24"/>
        </w:rPr>
      </w:pPr>
      <w:r>
        <w:rPr>
          <w:rFonts w:ascii="Times New Roman" w:hAnsi="Times New Roman" w:eastAsia="宋体"/>
          <w:sz w:val="24"/>
          <w:szCs w:val="24"/>
        </w:rPr>
        <w:t>一、</w:t>
      </w:r>
      <w:r>
        <w:rPr>
          <w:rFonts w:hint="eastAsia" w:ascii="Times New Roman" w:hAnsi="Times New Roman" w:eastAsia="宋体"/>
          <w:sz w:val="24"/>
          <w:szCs w:val="24"/>
        </w:rPr>
        <w:t>评审</w:t>
      </w:r>
      <w:r>
        <w:rPr>
          <w:rFonts w:ascii="Times New Roman" w:hAnsi="Times New Roman" w:eastAsia="宋体"/>
          <w:sz w:val="24"/>
          <w:szCs w:val="24"/>
        </w:rPr>
        <w:t>程序</w:t>
      </w:r>
    </w:p>
    <w:p w14:paraId="657711C1">
      <w:pPr>
        <w:tabs>
          <w:tab w:val="left" w:pos="1080"/>
        </w:tabs>
        <w:jc w:val="left"/>
        <w:rPr>
          <w:b/>
          <w:sz w:val="24"/>
        </w:rPr>
      </w:pPr>
      <w:r>
        <w:rPr>
          <w:b/>
          <w:sz w:val="24"/>
        </w:rPr>
        <w:tab/>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p w14:paraId="3A866299">
      <w:pPr>
        <w:keepNext w:val="0"/>
        <w:keepLines w:val="0"/>
        <w:pageBreakBefore w:val="0"/>
        <w:widowControl w:val="0"/>
        <w:numPr>
          <w:ilvl w:val="0"/>
          <w:numId w:val="11"/>
        </w:numPr>
        <w:tabs>
          <w:tab w:val="left" w:pos="360"/>
          <w:tab w:val="left" w:pos="630"/>
        </w:tabs>
        <w:spacing w:line="360" w:lineRule="auto"/>
        <w:ind w:left="0" w:firstLine="480"/>
        <w:outlineLvl w:val="1"/>
        <w:rPr>
          <w:sz w:val="24"/>
        </w:rPr>
      </w:pPr>
      <w:bookmarkStart w:id="593" w:name="_Toc226337237"/>
      <w:bookmarkStart w:id="594" w:name="_Toc226965731"/>
      <w:bookmarkStart w:id="595" w:name="_Toc151193929"/>
      <w:bookmarkStart w:id="596" w:name="_Toc150774746"/>
      <w:bookmarkStart w:id="597" w:name="_Toc150509292"/>
      <w:bookmarkStart w:id="598" w:name="_Toc151193639"/>
      <w:bookmarkStart w:id="599" w:name="_Toc195842906"/>
      <w:bookmarkStart w:id="600" w:name="_Toc127151742"/>
      <w:bookmarkStart w:id="601" w:name="_Toc305158809"/>
      <w:bookmarkStart w:id="602" w:name="_Toc226965814"/>
      <w:bookmarkStart w:id="603" w:name="_Toc164608655"/>
      <w:bookmarkStart w:id="604" w:name="_Toc164351635"/>
      <w:bookmarkStart w:id="605" w:name="_Toc164229236"/>
      <w:bookmarkStart w:id="606" w:name="_Toc149720834"/>
      <w:bookmarkStart w:id="607" w:name="_Toc151193711"/>
      <w:bookmarkStart w:id="608" w:name="_Toc150774641"/>
      <w:bookmarkStart w:id="609" w:name="_Toc305158883"/>
      <w:bookmarkStart w:id="610" w:name="_Toc151193855"/>
      <w:bookmarkStart w:id="611" w:name="_Toc265228379"/>
      <w:bookmarkStart w:id="612" w:name="_Toc264969231"/>
      <w:bookmarkStart w:id="613" w:name="_Toc151193783"/>
      <w:bookmarkStart w:id="614" w:name="_Toc151190168"/>
      <w:bookmarkStart w:id="615" w:name="_Toc150480779"/>
      <w:bookmarkStart w:id="616" w:name="_Toc127151541"/>
      <w:bookmarkStart w:id="617" w:name="_Toc127161455"/>
      <w:bookmarkStart w:id="618" w:name="_Toc164229382"/>
      <w:bookmarkStart w:id="619" w:name="_Toc142311043"/>
      <w:bookmarkStart w:id="620" w:name="_Toc226309785"/>
      <w:bookmarkStart w:id="621" w:name="_Toc164608810"/>
      <w:bookmarkStart w:id="622" w:name="_Toc353873941"/>
      <w:bookmarkStart w:id="623" w:name="_Toc353825551"/>
      <w:bookmarkStart w:id="624" w:name="_Toc265228393"/>
      <w:bookmarkStart w:id="625" w:name="_Toc353825545"/>
      <w:bookmarkStart w:id="626" w:name="_Toc305158823"/>
      <w:bookmarkStart w:id="627" w:name="_Toc305158897"/>
      <w:bookmarkStart w:id="628" w:name="_Toc150480793"/>
      <w:bookmarkStart w:id="629" w:name="_Toc353873935"/>
      <w:bookmarkStart w:id="630" w:name="_Toc226337251"/>
      <w:bookmarkStart w:id="631" w:name="_Toc142311057"/>
      <w:bookmarkStart w:id="632" w:name="_Toc226965828"/>
      <w:bookmarkStart w:id="633" w:name="_Toc150774760"/>
      <w:bookmarkStart w:id="634" w:name="_Toc353873665"/>
      <w:bookmarkStart w:id="635" w:name="_Toc127151555"/>
      <w:bookmarkStart w:id="636" w:name="_Toc195842920"/>
      <w:bookmarkStart w:id="637" w:name="_Toc264969245"/>
      <w:r>
        <w:rPr>
          <w:sz w:val="24"/>
        </w:rPr>
        <w:t>响应文件的</w:t>
      </w:r>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r>
        <w:rPr>
          <w:sz w:val="24"/>
        </w:rPr>
        <w:t>资格性检查和符合性审查</w:t>
      </w:r>
    </w:p>
    <w:p w14:paraId="6C200D2F">
      <w:pPr>
        <w:keepNext w:val="0"/>
        <w:keepLines w:val="0"/>
        <w:pageBreakBefore w:val="0"/>
        <w:widowControl w:val="0"/>
        <w:numPr>
          <w:ilvl w:val="1"/>
          <w:numId w:val="11"/>
        </w:numPr>
        <w:tabs>
          <w:tab w:val="left" w:pos="840"/>
        </w:tabs>
        <w:spacing w:line="360" w:lineRule="auto"/>
        <w:ind w:left="0" w:firstLine="48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14:paraId="32723A1E">
      <w:pPr>
        <w:keepNext w:val="0"/>
        <w:keepLines w:val="0"/>
        <w:pageBreakBefore w:val="0"/>
        <w:widowControl w:val="0"/>
        <w:numPr>
          <w:ilvl w:val="1"/>
          <w:numId w:val="11"/>
        </w:numPr>
        <w:tabs>
          <w:tab w:val="left" w:pos="840"/>
        </w:tabs>
        <w:spacing w:line="360" w:lineRule="auto"/>
        <w:ind w:left="0" w:firstLine="480"/>
        <w:rPr>
          <w:sz w:val="24"/>
        </w:rPr>
      </w:pPr>
      <w:r>
        <w:rPr>
          <w:sz w:val="24"/>
        </w:rPr>
        <w:t>《资格性检查要求》中对格式有要求的，除竞争性磋商文件另有规定外，均为</w:t>
      </w:r>
      <w:r>
        <w:rPr>
          <w:rFonts w:hint="eastAsia"/>
          <w:sz w:val="24"/>
          <w:lang w:eastAsia="zh-CN"/>
        </w:rPr>
        <w:t>“</w:t>
      </w:r>
      <w:r>
        <w:rPr>
          <w:sz w:val="24"/>
        </w:rPr>
        <w:t>实质性格式</w:t>
      </w:r>
      <w:r>
        <w:rPr>
          <w:rFonts w:hint="eastAsia"/>
          <w:sz w:val="24"/>
          <w:lang w:eastAsia="zh-CN"/>
        </w:rPr>
        <w:t>”</w:t>
      </w:r>
      <w:r>
        <w:rPr>
          <w:sz w:val="24"/>
        </w:rPr>
        <w:t>文件。</w:t>
      </w:r>
    </w:p>
    <w:p w14:paraId="3D802C8F">
      <w:pPr>
        <w:keepNext w:val="0"/>
        <w:keepLines w:val="0"/>
        <w:pageBreakBefore w:val="0"/>
        <w:widowControl w:val="0"/>
        <w:numPr>
          <w:ilvl w:val="1"/>
          <w:numId w:val="11"/>
        </w:numPr>
        <w:tabs>
          <w:tab w:val="left" w:pos="840"/>
        </w:tabs>
        <w:spacing w:line="360" w:lineRule="auto"/>
        <w:ind w:left="0" w:firstLine="480"/>
        <w:rPr>
          <w:sz w:val="24"/>
        </w:rPr>
      </w:pPr>
      <w:r>
        <w:rPr>
          <w:sz w:val="24"/>
        </w:rPr>
        <w:t>《资格性检查要求》见下表：</w:t>
      </w:r>
    </w:p>
    <w:p w14:paraId="6A58F59A">
      <w:pPr>
        <w:tabs>
          <w:tab w:val="left" w:pos="900"/>
          <w:tab w:val="left" w:pos="1080"/>
        </w:tabs>
        <w:spacing w:line="360" w:lineRule="auto"/>
        <w:ind w:left="1077" w:firstLine="2650"/>
        <w:rPr>
          <w:b/>
          <w:sz w:val="24"/>
        </w:rPr>
      </w:pPr>
      <w:r>
        <w:rPr>
          <w:b/>
          <w:sz w:val="24"/>
        </w:rPr>
        <w:t>资格性检查要求</w:t>
      </w:r>
    </w:p>
    <w:tbl>
      <w:tblPr>
        <w:tblStyle w:val="29"/>
        <w:tblW w:w="490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16"/>
        <w:gridCol w:w="2275"/>
        <w:gridCol w:w="4288"/>
        <w:gridCol w:w="2033"/>
      </w:tblGrid>
      <w:tr w14:paraId="46326D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7" w:hRule="atLeast"/>
          <w:tblHeader/>
        </w:trPr>
        <w:tc>
          <w:tcPr>
            <w:tcW w:w="384" w:type="dxa"/>
            <w:noWrap w:val="0"/>
            <w:vAlign w:val="center"/>
          </w:tcPr>
          <w:p w14:paraId="764C65E0">
            <w:pPr>
              <w:tabs>
                <w:tab w:val="left" w:pos="1080"/>
              </w:tabs>
              <w:jc w:val="center"/>
              <w:rPr>
                <w:b/>
                <w:sz w:val="24"/>
              </w:rPr>
            </w:pPr>
            <w:bookmarkStart w:id="638" w:name="_Hlt487972895"/>
            <w:bookmarkEnd w:id="638"/>
            <w:r>
              <w:rPr>
                <w:b/>
                <w:sz w:val="24"/>
              </w:rPr>
              <w:t>序号</w:t>
            </w:r>
          </w:p>
        </w:tc>
        <w:tc>
          <w:tcPr>
            <w:tcW w:w="1221" w:type="dxa"/>
            <w:noWrap w:val="0"/>
            <w:vAlign w:val="center"/>
          </w:tcPr>
          <w:p w14:paraId="7864CFE6">
            <w:pPr>
              <w:tabs>
                <w:tab w:val="left" w:pos="1080"/>
              </w:tabs>
              <w:jc w:val="center"/>
              <w:rPr>
                <w:b/>
                <w:sz w:val="24"/>
              </w:rPr>
            </w:pPr>
            <w:r>
              <w:rPr>
                <w:b/>
                <w:sz w:val="24"/>
              </w:rPr>
              <w:t>审查因素</w:t>
            </w:r>
          </w:p>
        </w:tc>
        <w:tc>
          <w:tcPr>
            <w:tcW w:w="2301" w:type="dxa"/>
            <w:noWrap w:val="0"/>
            <w:vAlign w:val="center"/>
          </w:tcPr>
          <w:p w14:paraId="64F9EF87">
            <w:pPr>
              <w:tabs>
                <w:tab w:val="left" w:pos="1080"/>
              </w:tabs>
              <w:jc w:val="center"/>
              <w:rPr>
                <w:b/>
                <w:sz w:val="24"/>
              </w:rPr>
            </w:pPr>
            <w:r>
              <w:rPr>
                <w:b/>
                <w:sz w:val="24"/>
              </w:rPr>
              <w:t>审查内容</w:t>
            </w:r>
          </w:p>
        </w:tc>
        <w:tc>
          <w:tcPr>
            <w:tcW w:w="1091" w:type="dxa"/>
            <w:noWrap w:val="0"/>
            <w:vAlign w:val="center"/>
          </w:tcPr>
          <w:p w14:paraId="00ED5CA9">
            <w:pPr>
              <w:tabs>
                <w:tab w:val="left" w:pos="1080"/>
              </w:tabs>
              <w:jc w:val="center"/>
              <w:rPr>
                <w:b/>
                <w:sz w:val="24"/>
              </w:rPr>
            </w:pPr>
            <w:r>
              <w:rPr>
                <w:b/>
                <w:sz w:val="24"/>
              </w:rPr>
              <w:t>格式要求</w:t>
            </w:r>
          </w:p>
        </w:tc>
      </w:tr>
      <w:tr w14:paraId="59A8DF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428" w:hRule="atLeast"/>
        </w:trPr>
        <w:tc>
          <w:tcPr>
            <w:tcW w:w="384" w:type="dxa"/>
            <w:noWrap w:val="0"/>
            <w:vAlign w:val="center"/>
          </w:tcPr>
          <w:p w14:paraId="09EF3806">
            <w:pPr>
              <w:tabs>
                <w:tab w:val="left" w:pos="1080"/>
              </w:tabs>
              <w:jc w:val="center"/>
              <w:rPr>
                <w:sz w:val="24"/>
              </w:rPr>
            </w:pPr>
            <w:r>
              <w:rPr>
                <w:sz w:val="24"/>
              </w:rPr>
              <w:t>1</w:t>
            </w:r>
          </w:p>
        </w:tc>
        <w:tc>
          <w:tcPr>
            <w:tcW w:w="1221" w:type="dxa"/>
            <w:noWrap w:val="0"/>
            <w:vAlign w:val="center"/>
          </w:tcPr>
          <w:p w14:paraId="258F4DD6">
            <w:pPr>
              <w:tabs>
                <w:tab w:val="left" w:pos="1080"/>
              </w:tabs>
              <w:rPr>
                <w:sz w:val="24"/>
              </w:rPr>
            </w:pPr>
            <w:r>
              <w:rPr>
                <w:sz w:val="24"/>
              </w:rPr>
              <w:t>满足《中华人民共和国政府采购法》第二十二条规定及法律法规的其他规定</w:t>
            </w:r>
          </w:p>
        </w:tc>
        <w:tc>
          <w:tcPr>
            <w:tcW w:w="2301" w:type="dxa"/>
            <w:noWrap w:val="0"/>
            <w:vAlign w:val="center"/>
          </w:tcPr>
          <w:p w14:paraId="13562639">
            <w:pPr>
              <w:tabs>
                <w:tab w:val="left" w:pos="1080"/>
              </w:tabs>
              <w:rPr>
                <w:sz w:val="24"/>
              </w:rPr>
            </w:pPr>
            <w:r>
              <w:rPr>
                <w:sz w:val="24"/>
              </w:rPr>
              <w:t>具体规定见第一章《采购邀请》</w:t>
            </w:r>
          </w:p>
        </w:tc>
        <w:tc>
          <w:tcPr>
            <w:tcW w:w="1091" w:type="dxa"/>
            <w:noWrap w:val="0"/>
            <w:vAlign w:val="center"/>
          </w:tcPr>
          <w:p w14:paraId="2223ED42">
            <w:pPr>
              <w:tabs>
                <w:tab w:val="left" w:pos="1080"/>
              </w:tabs>
              <w:rPr>
                <w:sz w:val="24"/>
              </w:rPr>
            </w:pPr>
          </w:p>
        </w:tc>
      </w:tr>
      <w:tr w14:paraId="5EE6EE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7" w:hRule="atLeast"/>
        </w:trPr>
        <w:tc>
          <w:tcPr>
            <w:tcW w:w="384" w:type="dxa"/>
            <w:noWrap w:val="0"/>
            <w:vAlign w:val="center"/>
          </w:tcPr>
          <w:p w14:paraId="0FCCAA36">
            <w:pPr>
              <w:tabs>
                <w:tab w:val="left" w:pos="1080"/>
              </w:tabs>
              <w:jc w:val="center"/>
              <w:rPr>
                <w:sz w:val="24"/>
              </w:rPr>
            </w:pPr>
            <w:r>
              <w:rPr>
                <w:sz w:val="24"/>
              </w:rPr>
              <w:t>1-1</w:t>
            </w:r>
          </w:p>
        </w:tc>
        <w:tc>
          <w:tcPr>
            <w:tcW w:w="1221" w:type="dxa"/>
            <w:noWrap w:val="0"/>
            <w:vAlign w:val="center"/>
          </w:tcPr>
          <w:p w14:paraId="06EBFEAC">
            <w:pPr>
              <w:tabs>
                <w:tab w:val="left" w:pos="1080"/>
              </w:tabs>
              <w:rPr>
                <w:sz w:val="24"/>
              </w:rPr>
            </w:pPr>
            <w:r>
              <w:rPr>
                <w:rFonts w:hint="eastAsia"/>
                <w:sz w:val="24"/>
              </w:rPr>
              <w:t>供应商资格声明函</w:t>
            </w:r>
          </w:p>
        </w:tc>
        <w:tc>
          <w:tcPr>
            <w:tcW w:w="2301" w:type="dxa"/>
            <w:noWrap w:val="0"/>
            <w:vAlign w:val="center"/>
          </w:tcPr>
          <w:p w14:paraId="20479E9D">
            <w:pPr>
              <w:tabs>
                <w:tab w:val="left" w:pos="1080"/>
              </w:tabs>
              <w:rPr>
                <w:sz w:val="24"/>
              </w:rPr>
            </w:pPr>
            <w:r>
              <w:rPr>
                <w:sz w:val="24"/>
              </w:rPr>
              <w:t>提供了符合</w:t>
            </w:r>
            <w:r>
              <w:rPr>
                <w:rFonts w:hint="eastAsia"/>
                <w:sz w:val="24"/>
              </w:rPr>
              <w:t>采购</w:t>
            </w:r>
            <w:r>
              <w:rPr>
                <w:sz w:val="24"/>
              </w:rPr>
              <w:t>文件要求的《</w:t>
            </w:r>
            <w:r>
              <w:rPr>
                <w:rFonts w:hint="eastAsia"/>
                <w:sz w:val="24"/>
              </w:rPr>
              <w:t>供应商资格声明函</w:t>
            </w:r>
            <w:r>
              <w:rPr>
                <w:sz w:val="24"/>
              </w:rPr>
              <w:t>》。</w:t>
            </w:r>
          </w:p>
        </w:tc>
        <w:tc>
          <w:tcPr>
            <w:tcW w:w="1091" w:type="dxa"/>
            <w:noWrap w:val="0"/>
            <w:vAlign w:val="center"/>
          </w:tcPr>
          <w:p w14:paraId="240992A3">
            <w:pPr>
              <w:tabs>
                <w:tab w:val="left" w:pos="1080"/>
              </w:tabs>
              <w:rPr>
                <w:sz w:val="24"/>
              </w:rPr>
            </w:pPr>
            <w:r>
              <w:rPr>
                <w:sz w:val="24"/>
              </w:rPr>
              <w:t>格式见《</w:t>
            </w:r>
            <w:r>
              <w:rPr>
                <w:rFonts w:hint="eastAsia"/>
                <w:sz w:val="24"/>
              </w:rPr>
              <w:t>响应</w:t>
            </w:r>
            <w:r>
              <w:rPr>
                <w:sz w:val="24"/>
              </w:rPr>
              <w:t>文件格式》</w:t>
            </w:r>
          </w:p>
        </w:tc>
      </w:tr>
      <w:tr w14:paraId="4D4A1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51" w:hRule="atLeast"/>
        </w:trPr>
        <w:tc>
          <w:tcPr>
            <w:tcW w:w="384" w:type="dxa"/>
            <w:noWrap w:val="0"/>
            <w:vAlign w:val="center"/>
          </w:tcPr>
          <w:p w14:paraId="39EACD46">
            <w:pPr>
              <w:tabs>
                <w:tab w:val="left" w:pos="1080"/>
              </w:tabs>
              <w:jc w:val="center"/>
              <w:rPr>
                <w:sz w:val="24"/>
              </w:rPr>
            </w:pPr>
            <w:r>
              <w:rPr>
                <w:rFonts w:hint="eastAsia"/>
                <w:sz w:val="24"/>
              </w:rPr>
              <w:t>1</w:t>
            </w:r>
            <w:r>
              <w:rPr>
                <w:sz w:val="24"/>
              </w:rPr>
              <w:t>-</w:t>
            </w:r>
            <w:r>
              <w:rPr>
                <w:rFonts w:hint="eastAsia"/>
                <w:sz w:val="24"/>
              </w:rPr>
              <w:t>2</w:t>
            </w:r>
          </w:p>
        </w:tc>
        <w:tc>
          <w:tcPr>
            <w:tcW w:w="1221" w:type="dxa"/>
            <w:noWrap w:val="0"/>
            <w:vAlign w:val="center"/>
          </w:tcPr>
          <w:p w14:paraId="304BD392">
            <w:pPr>
              <w:tabs>
                <w:tab w:val="left" w:pos="1080"/>
              </w:tabs>
              <w:rPr>
                <w:sz w:val="24"/>
              </w:rPr>
            </w:pPr>
            <w:r>
              <w:rPr>
                <w:sz w:val="24"/>
              </w:rPr>
              <w:t>供应商信用记录</w:t>
            </w:r>
          </w:p>
        </w:tc>
        <w:tc>
          <w:tcPr>
            <w:tcW w:w="2301" w:type="dxa"/>
            <w:noWrap w:val="0"/>
            <w:vAlign w:val="center"/>
          </w:tcPr>
          <w:p w14:paraId="42B13F58">
            <w:pPr>
              <w:tabs>
                <w:tab w:val="left" w:pos="900"/>
                <w:tab w:val="left" w:pos="1980"/>
              </w:tabs>
              <w:rPr>
                <w:sz w:val="24"/>
              </w:rPr>
            </w:pPr>
            <w:r>
              <w:rPr>
                <w:sz w:val="24"/>
              </w:rPr>
              <w:t>查询渠道：信用中国网站和中国政府采购网（www.creditchina.gov.cn、www.ccgp.gov.cn）；</w:t>
            </w:r>
          </w:p>
          <w:p w14:paraId="36A7121D">
            <w:pPr>
              <w:tabs>
                <w:tab w:val="left" w:pos="900"/>
                <w:tab w:val="left" w:pos="1980"/>
              </w:tabs>
              <w:rPr>
                <w:sz w:val="24"/>
              </w:rPr>
            </w:pPr>
            <w:r>
              <w:rPr>
                <w:sz w:val="24"/>
              </w:rPr>
              <w:t>截止时点：提交响应文件截止时间以后、</w:t>
            </w:r>
            <w:r>
              <w:rPr>
                <w:rFonts w:hint="eastAsia"/>
                <w:sz w:val="24"/>
              </w:rPr>
              <w:t>资格审查阶段采购人或采购代理机构</w:t>
            </w:r>
            <w:r>
              <w:rPr>
                <w:sz w:val="24"/>
              </w:rPr>
              <w:t>的实际查询时间；</w:t>
            </w:r>
          </w:p>
          <w:p w14:paraId="68C5E8F5">
            <w:pPr>
              <w:tabs>
                <w:tab w:val="left" w:pos="900"/>
                <w:tab w:val="left" w:pos="1980"/>
              </w:tabs>
              <w:rPr>
                <w:sz w:val="24"/>
              </w:rPr>
            </w:pPr>
            <w:r>
              <w:rPr>
                <w:sz w:val="24"/>
              </w:rPr>
              <w:t>信用信息查询记录和证据留存具体方式：查询结果网页打印页作为查询记录和证据，与其他采购文件一并保存；</w:t>
            </w:r>
          </w:p>
          <w:p w14:paraId="3D211D04">
            <w:pPr>
              <w:tabs>
                <w:tab w:val="left" w:pos="1080"/>
              </w:tabs>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w:t>
            </w:r>
          </w:p>
        </w:tc>
        <w:tc>
          <w:tcPr>
            <w:tcW w:w="1091" w:type="dxa"/>
            <w:noWrap w:val="0"/>
            <w:vAlign w:val="center"/>
          </w:tcPr>
          <w:p w14:paraId="14C941E4">
            <w:pPr>
              <w:tabs>
                <w:tab w:val="left" w:pos="1080"/>
              </w:tabs>
              <w:rPr>
                <w:sz w:val="24"/>
              </w:rPr>
            </w:pPr>
            <w:r>
              <w:rPr>
                <w:sz w:val="24"/>
              </w:rPr>
              <w:t>无须供应商提供，由采购人查询。</w:t>
            </w:r>
          </w:p>
        </w:tc>
      </w:tr>
      <w:tr w14:paraId="134A9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7" w:hRule="atLeast"/>
        </w:trPr>
        <w:tc>
          <w:tcPr>
            <w:tcW w:w="384" w:type="dxa"/>
            <w:noWrap w:val="0"/>
            <w:vAlign w:val="center"/>
          </w:tcPr>
          <w:p w14:paraId="280B42B5">
            <w:pPr>
              <w:tabs>
                <w:tab w:val="left" w:pos="1080"/>
              </w:tabs>
              <w:jc w:val="center"/>
              <w:rPr>
                <w:sz w:val="24"/>
              </w:rPr>
            </w:pPr>
            <w:r>
              <w:rPr>
                <w:sz w:val="24"/>
              </w:rPr>
              <w:t>2</w:t>
            </w:r>
          </w:p>
        </w:tc>
        <w:tc>
          <w:tcPr>
            <w:tcW w:w="1221" w:type="dxa"/>
            <w:noWrap w:val="0"/>
            <w:vAlign w:val="center"/>
          </w:tcPr>
          <w:p w14:paraId="3FCEA99C">
            <w:pPr>
              <w:tabs>
                <w:tab w:val="left" w:pos="1080"/>
              </w:tabs>
              <w:rPr>
                <w:sz w:val="24"/>
              </w:rPr>
            </w:pPr>
            <w:r>
              <w:rPr>
                <w:sz w:val="24"/>
              </w:rPr>
              <w:t>落实政府采购政策需满足的资格要求</w:t>
            </w:r>
          </w:p>
        </w:tc>
        <w:tc>
          <w:tcPr>
            <w:tcW w:w="2301" w:type="dxa"/>
            <w:noWrap w:val="0"/>
            <w:vAlign w:val="center"/>
          </w:tcPr>
          <w:p w14:paraId="3E6D8ABD">
            <w:pPr>
              <w:tabs>
                <w:tab w:val="left" w:pos="1080"/>
              </w:tabs>
              <w:rPr>
                <w:sz w:val="24"/>
              </w:rPr>
            </w:pPr>
            <w:r>
              <w:rPr>
                <w:sz w:val="24"/>
              </w:rPr>
              <w:t>具体要求见第一章《采购邀请》</w:t>
            </w:r>
          </w:p>
        </w:tc>
        <w:tc>
          <w:tcPr>
            <w:tcW w:w="1091" w:type="dxa"/>
            <w:noWrap w:val="0"/>
            <w:vAlign w:val="center"/>
          </w:tcPr>
          <w:p w14:paraId="03739910">
            <w:pPr>
              <w:tabs>
                <w:tab w:val="left" w:pos="1080"/>
              </w:tabs>
              <w:rPr>
                <w:sz w:val="24"/>
              </w:rPr>
            </w:pPr>
          </w:p>
        </w:tc>
      </w:tr>
      <w:tr w14:paraId="28B463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7" w:hRule="atLeast"/>
        </w:trPr>
        <w:tc>
          <w:tcPr>
            <w:tcW w:w="384" w:type="dxa"/>
            <w:noWrap w:val="0"/>
            <w:vAlign w:val="center"/>
          </w:tcPr>
          <w:p w14:paraId="4A9F36BC">
            <w:pPr>
              <w:tabs>
                <w:tab w:val="left" w:pos="1080"/>
              </w:tabs>
              <w:jc w:val="center"/>
              <w:rPr>
                <w:rFonts w:eastAsia="宋体"/>
                <w:sz w:val="24"/>
                <w:lang w:val="en-US" w:eastAsia="zh-CN"/>
              </w:rPr>
            </w:pPr>
            <w:r>
              <w:rPr>
                <w:rFonts w:hint="eastAsia"/>
                <w:sz w:val="24"/>
                <w:lang w:val="en-US" w:eastAsia="zh-CN"/>
              </w:rPr>
              <w:t>2-1</w:t>
            </w:r>
          </w:p>
        </w:tc>
        <w:tc>
          <w:tcPr>
            <w:tcW w:w="1221" w:type="dxa"/>
            <w:noWrap w:val="0"/>
            <w:vAlign w:val="center"/>
          </w:tcPr>
          <w:p w14:paraId="37E08C74">
            <w:pPr>
              <w:tabs>
                <w:tab w:val="left" w:pos="1080"/>
              </w:tabs>
              <w:rPr>
                <w:sz w:val="24"/>
              </w:rPr>
            </w:pPr>
            <w:r>
              <w:rPr>
                <w:rFonts w:ascii="宋体" w:hAnsi="宋体" w:eastAsia="宋体" w:cs="宋体"/>
                <w:sz w:val="24"/>
                <w:szCs w:val="24"/>
              </w:rPr>
              <w:t>中小企业声明函</w:t>
            </w:r>
          </w:p>
        </w:tc>
        <w:tc>
          <w:tcPr>
            <w:tcW w:w="2301" w:type="dxa"/>
            <w:noWrap w:val="0"/>
            <w:vAlign w:val="center"/>
          </w:tcPr>
          <w:p w14:paraId="3D676171">
            <w:pPr>
              <w:tabs>
                <w:tab w:val="left" w:pos="1080"/>
              </w:tabs>
              <w:rPr>
                <w:rFonts w:ascii="宋体" w:hAnsi="宋体" w:eastAsia="宋体" w:cs="宋体"/>
                <w:sz w:val="24"/>
                <w:szCs w:val="24"/>
              </w:rPr>
            </w:pPr>
            <w:r>
              <w:rPr>
                <w:rFonts w:ascii="宋体" w:hAnsi="宋体" w:eastAsia="宋体" w:cs="宋体"/>
                <w:sz w:val="24"/>
                <w:szCs w:val="24"/>
              </w:rPr>
              <w:t>供应商</w:t>
            </w:r>
            <w:r>
              <w:rPr>
                <w:rFonts w:hint="eastAsia" w:ascii="宋体" w:hAnsi="宋体" w:eastAsia="宋体" w:cs="宋体"/>
                <w:sz w:val="24"/>
                <w:szCs w:val="24"/>
                <w:lang w:eastAsia="zh-CN"/>
              </w:rPr>
              <w:t>应</w:t>
            </w:r>
            <w:r>
              <w:rPr>
                <w:rFonts w:ascii="宋体" w:hAnsi="宋体" w:eastAsia="宋体" w:cs="宋体"/>
                <w:sz w:val="24"/>
                <w:szCs w:val="24"/>
              </w:rPr>
              <w:t>提供中小企业声明函；如为监狱企业或残疾人福利性单位，不必提供中小企业声明函</w:t>
            </w:r>
            <w:r>
              <w:rPr>
                <w:rFonts w:hint="eastAsia" w:ascii="宋体" w:hAnsi="宋体" w:eastAsia="宋体" w:cs="宋体"/>
                <w:sz w:val="24"/>
                <w:szCs w:val="24"/>
                <w:lang w:eastAsia="zh-CN"/>
              </w:rPr>
              <w:t>，</w:t>
            </w:r>
            <w:r>
              <w:rPr>
                <w:rFonts w:ascii="宋体" w:hAnsi="宋体" w:eastAsia="宋体" w:cs="宋体"/>
                <w:sz w:val="24"/>
                <w:szCs w:val="24"/>
              </w:rPr>
              <w:t>但须按注</w:t>
            </w:r>
            <w:r>
              <w:rPr>
                <w:rFonts w:hint="eastAsia" w:ascii="宋体" w:hAnsi="宋体" w:eastAsia="宋体" w:cs="宋体"/>
                <w:sz w:val="24"/>
                <w:szCs w:val="24"/>
                <w:lang w:val="en-US" w:eastAsia="zh-CN"/>
              </w:rPr>
              <w:t>1</w:t>
            </w:r>
            <w:r>
              <w:rPr>
                <w:rFonts w:ascii="宋体" w:hAnsi="宋体" w:eastAsia="宋体" w:cs="宋体"/>
                <w:sz w:val="24"/>
                <w:szCs w:val="24"/>
              </w:rPr>
              <w:t>或注2 要求提供证明材料。</w:t>
            </w:r>
          </w:p>
          <w:p w14:paraId="3F44AF33">
            <w:pPr>
              <w:tabs>
                <w:tab w:val="left" w:pos="1080"/>
              </w:tabs>
              <w:rPr>
                <w:sz w:val="24"/>
              </w:rPr>
            </w:pPr>
            <w:r>
              <w:rPr>
                <w:rFonts w:ascii="宋体" w:hAnsi="宋体" w:eastAsia="宋体" w:cs="宋体"/>
                <w:sz w:val="24"/>
                <w:szCs w:val="24"/>
              </w:rPr>
              <w:t>注 1：监狱企业须提供由省级以上监狱管理局（常州市含教育矫治局）、戒毒管理局（含新疆生产建设兵团）出具的属于监狱企业的证明文件。注 2：残疾人福利性单位须按磋商文件要求提供《残疾人福利性单位声明函》。</w:t>
            </w:r>
          </w:p>
        </w:tc>
        <w:tc>
          <w:tcPr>
            <w:tcW w:w="1091" w:type="dxa"/>
            <w:noWrap w:val="0"/>
            <w:vAlign w:val="center"/>
          </w:tcPr>
          <w:p w14:paraId="6E6032F0">
            <w:pPr>
              <w:tabs>
                <w:tab w:val="left" w:pos="1080"/>
              </w:tabs>
              <w:rPr>
                <w:sz w:val="24"/>
              </w:rPr>
            </w:pPr>
            <w:r>
              <w:rPr>
                <w:sz w:val="24"/>
              </w:rPr>
              <w:t>格式见《响应文件格式》</w:t>
            </w:r>
          </w:p>
        </w:tc>
      </w:tr>
      <w:tr w14:paraId="6646A0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77" w:hRule="atLeast"/>
        </w:trPr>
        <w:tc>
          <w:tcPr>
            <w:tcW w:w="384" w:type="dxa"/>
            <w:noWrap w:val="0"/>
            <w:vAlign w:val="center"/>
          </w:tcPr>
          <w:p w14:paraId="154047D2">
            <w:pPr>
              <w:tabs>
                <w:tab w:val="left" w:pos="1080"/>
              </w:tabs>
              <w:jc w:val="center"/>
              <w:rPr>
                <w:sz w:val="24"/>
              </w:rPr>
            </w:pPr>
            <w:r>
              <w:rPr>
                <w:sz w:val="24"/>
              </w:rPr>
              <w:t>3</w:t>
            </w:r>
          </w:p>
        </w:tc>
        <w:tc>
          <w:tcPr>
            <w:tcW w:w="1221" w:type="dxa"/>
            <w:noWrap w:val="0"/>
            <w:vAlign w:val="center"/>
          </w:tcPr>
          <w:p w14:paraId="1ACF4D7D">
            <w:pPr>
              <w:tabs>
                <w:tab w:val="left" w:pos="1080"/>
              </w:tabs>
              <w:rPr>
                <w:sz w:val="24"/>
              </w:rPr>
            </w:pPr>
            <w:r>
              <w:rPr>
                <w:sz w:val="24"/>
              </w:rPr>
              <w:t>本项目的特定资格要求</w:t>
            </w:r>
          </w:p>
        </w:tc>
        <w:tc>
          <w:tcPr>
            <w:tcW w:w="2301" w:type="dxa"/>
            <w:noWrap w:val="0"/>
            <w:vAlign w:val="center"/>
          </w:tcPr>
          <w:p w14:paraId="0E177137">
            <w:pPr>
              <w:tabs>
                <w:tab w:val="left" w:pos="1080"/>
              </w:tabs>
              <w:rPr>
                <w:sz w:val="24"/>
              </w:rPr>
            </w:pPr>
            <w:r>
              <w:rPr>
                <w:sz w:val="24"/>
              </w:rPr>
              <w:t>如有，见第一章《采购邀请》</w:t>
            </w:r>
          </w:p>
        </w:tc>
        <w:tc>
          <w:tcPr>
            <w:tcW w:w="1091" w:type="dxa"/>
            <w:noWrap w:val="0"/>
            <w:vAlign w:val="center"/>
          </w:tcPr>
          <w:p w14:paraId="52347BE1">
            <w:pPr>
              <w:tabs>
                <w:tab w:val="left" w:pos="1080"/>
              </w:tabs>
              <w:rPr>
                <w:sz w:val="24"/>
              </w:rPr>
            </w:pPr>
          </w:p>
        </w:tc>
      </w:tr>
      <w:tr w14:paraId="6DD9F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65" w:hRule="atLeast"/>
        </w:trPr>
        <w:tc>
          <w:tcPr>
            <w:tcW w:w="384" w:type="dxa"/>
            <w:noWrap w:val="0"/>
            <w:vAlign w:val="center"/>
          </w:tcPr>
          <w:p w14:paraId="79861B4C">
            <w:pPr>
              <w:tabs>
                <w:tab w:val="left" w:pos="1080"/>
              </w:tabs>
              <w:jc w:val="center"/>
              <w:rPr>
                <w:sz w:val="24"/>
              </w:rPr>
            </w:pPr>
            <w:r>
              <w:rPr>
                <w:sz w:val="24"/>
              </w:rPr>
              <w:t>3-1</w:t>
            </w:r>
          </w:p>
        </w:tc>
        <w:tc>
          <w:tcPr>
            <w:tcW w:w="1221" w:type="dxa"/>
            <w:noWrap w:val="0"/>
            <w:vAlign w:val="center"/>
          </w:tcPr>
          <w:p w14:paraId="5C9FAA8E">
            <w:pPr>
              <w:tabs>
                <w:tab w:val="left" w:pos="1080"/>
              </w:tabs>
              <w:rPr>
                <w:sz w:val="24"/>
              </w:rPr>
            </w:pPr>
            <w:r>
              <w:rPr>
                <w:sz w:val="24"/>
              </w:rPr>
              <w:t>是否接受联合体响应</w:t>
            </w:r>
          </w:p>
        </w:tc>
        <w:tc>
          <w:tcPr>
            <w:tcW w:w="2301" w:type="dxa"/>
            <w:noWrap w:val="0"/>
            <w:vAlign w:val="center"/>
          </w:tcPr>
          <w:p w14:paraId="4643FAE6">
            <w:pPr>
              <w:tabs>
                <w:tab w:val="left" w:pos="1080"/>
              </w:tabs>
              <w:rPr>
                <w:sz w:val="24"/>
              </w:rPr>
            </w:pPr>
            <w:r>
              <w:rPr>
                <w:sz w:val="24"/>
              </w:rPr>
              <w:t>本项目不接受联合体响应，</w:t>
            </w:r>
            <w:r>
              <w:rPr>
                <w:rFonts w:hint="eastAsia"/>
                <w:sz w:val="24"/>
              </w:rPr>
              <w:t>供应商不得为联合体</w:t>
            </w:r>
            <w:r>
              <w:rPr>
                <w:sz w:val="24"/>
              </w:rPr>
              <w:t>。</w:t>
            </w:r>
          </w:p>
        </w:tc>
        <w:tc>
          <w:tcPr>
            <w:tcW w:w="1091" w:type="dxa"/>
            <w:noWrap w:val="0"/>
            <w:vAlign w:val="center"/>
          </w:tcPr>
          <w:p w14:paraId="184B56AD">
            <w:pPr>
              <w:tabs>
                <w:tab w:val="left" w:pos="1080"/>
              </w:tabs>
              <w:rPr>
                <w:sz w:val="24"/>
              </w:rPr>
            </w:pPr>
          </w:p>
        </w:tc>
      </w:tr>
      <w:tr w14:paraId="658A27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6" w:hRule="atLeast"/>
        </w:trPr>
        <w:tc>
          <w:tcPr>
            <w:tcW w:w="384" w:type="dxa"/>
            <w:noWrap w:val="0"/>
            <w:vAlign w:val="center"/>
          </w:tcPr>
          <w:p w14:paraId="625535D3">
            <w:pPr>
              <w:tabs>
                <w:tab w:val="left" w:pos="1080"/>
              </w:tabs>
              <w:jc w:val="center"/>
              <w:rPr>
                <w:sz w:val="24"/>
              </w:rPr>
            </w:pPr>
            <w:r>
              <w:rPr>
                <w:sz w:val="24"/>
              </w:rPr>
              <w:t>3-2</w:t>
            </w:r>
          </w:p>
        </w:tc>
        <w:tc>
          <w:tcPr>
            <w:tcW w:w="1221" w:type="dxa"/>
            <w:noWrap w:val="0"/>
            <w:vAlign w:val="center"/>
          </w:tcPr>
          <w:p w14:paraId="6B42A803">
            <w:pPr>
              <w:tabs>
                <w:tab w:val="left" w:pos="1080"/>
              </w:tabs>
              <w:rPr>
                <w:sz w:val="24"/>
              </w:rPr>
            </w:pPr>
            <w:r>
              <w:rPr>
                <w:sz w:val="24"/>
              </w:rPr>
              <w:t>其他特定资格要求</w:t>
            </w:r>
          </w:p>
        </w:tc>
        <w:tc>
          <w:tcPr>
            <w:tcW w:w="2301" w:type="dxa"/>
            <w:noWrap w:val="0"/>
            <w:vAlign w:val="center"/>
          </w:tcPr>
          <w:p w14:paraId="5795014B">
            <w:pPr>
              <w:tabs>
                <w:tab w:val="left" w:pos="1080"/>
              </w:tabs>
              <w:rPr>
                <w:rFonts w:hint="eastAsia"/>
                <w:sz w:val="24"/>
              </w:rPr>
            </w:pPr>
            <w:r>
              <w:rPr>
                <w:rFonts w:hint="eastAsia"/>
                <w:sz w:val="24"/>
              </w:rPr>
              <w:t>如有，见第一章《采购邀请》</w:t>
            </w:r>
          </w:p>
        </w:tc>
        <w:tc>
          <w:tcPr>
            <w:tcW w:w="1091" w:type="dxa"/>
            <w:noWrap w:val="0"/>
            <w:vAlign w:val="center"/>
          </w:tcPr>
          <w:p w14:paraId="246ADE59">
            <w:pPr>
              <w:tabs>
                <w:tab w:val="left" w:pos="1080"/>
              </w:tabs>
              <w:rPr>
                <w:rFonts w:hint="eastAsia" w:eastAsia="宋体"/>
                <w:sz w:val="24"/>
                <w:lang w:eastAsia="zh-CN"/>
              </w:rPr>
            </w:pPr>
          </w:p>
        </w:tc>
      </w:tr>
    </w:tbl>
    <w:p w14:paraId="6550285E">
      <w:pPr>
        <w:widowControl/>
        <w:jc w:val="left"/>
        <w:rPr>
          <w:rFonts w:hint="eastAsia"/>
          <w:sz w:val="24"/>
          <w:lang w:val="en-US" w:eastAsia="zh-CN"/>
        </w:rPr>
      </w:pPr>
    </w:p>
    <w:p w14:paraId="60E978C7">
      <w:pPr>
        <w:widowControl/>
        <w:ind w:firstLine="480"/>
        <w:jc w:val="left"/>
        <w:rPr>
          <w:rFonts w:hint="eastAsia"/>
          <w:sz w:val="24"/>
          <w:lang w:val="en-US" w:eastAsia="zh-CN"/>
        </w:rPr>
      </w:pPr>
    </w:p>
    <w:p w14:paraId="06558A97">
      <w:pPr>
        <w:widowControl/>
        <w:ind w:firstLine="480"/>
        <w:jc w:val="left"/>
        <w:rPr>
          <w:rFonts w:hint="eastAsia"/>
          <w:sz w:val="24"/>
          <w:lang w:val="en-US" w:eastAsia="zh-CN"/>
        </w:rPr>
      </w:pPr>
    </w:p>
    <w:p w14:paraId="2F55B934">
      <w:pPr>
        <w:widowControl/>
        <w:ind w:firstLine="480"/>
        <w:jc w:val="left"/>
        <w:rPr>
          <w:rFonts w:hint="eastAsia"/>
          <w:sz w:val="24"/>
          <w:lang w:val="en-US" w:eastAsia="zh-CN"/>
        </w:rPr>
      </w:pPr>
    </w:p>
    <w:p w14:paraId="05241670">
      <w:pPr>
        <w:widowControl/>
        <w:ind w:firstLine="480"/>
        <w:jc w:val="left"/>
        <w:rPr>
          <w:sz w:val="24"/>
        </w:rPr>
      </w:pPr>
      <w:r>
        <w:rPr>
          <w:rFonts w:hint="eastAsia"/>
          <w:sz w:val="24"/>
          <w:lang w:val="en-US" w:eastAsia="zh-CN"/>
        </w:rPr>
        <w:br w:type="page" w:clear="all"/>
      </w:r>
      <w:r>
        <w:rPr>
          <w:rFonts w:hint="eastAsia"/>
          <w:sz w:val="24"/>
          <w:lang w:val="en-US" w:eastAsia="zh-CN"/>
        </w:rPr>
        <w:t>1.4</w:t>
      </w:r>
      <w:r>
        <w:rPr>
          <w:sz w:val="24"/>
        </w:rPr>
        <w:t>《符合性审查要求》见下表：</w:t>
      </w:r>
    </w:p>
    <w:p w14:paraId="0A9B6628">
      <w:pPr>
        <w:widowControl/>
        <w:spacing w:line="360" w:lineRule="auto"/>
        <w:jc w:val="center"/>
        <w:rPr>
          <w:b/>
          <w:color w:val="000000"/>
          <w:sz w:val="24"/>
        </w:rPr>
      </w:pPr>
      <w:r>
        <w:rPr>
          <w:b/>
          <w:color w:val="000000"/>
          <w:sz w:val="24"/>
        </w:rPr>
        <w:t>符合性审查要求</w:t>
      </w:r>
    </w:p>
    <w:tbl>
      <w:tblPr>
        <w:tblStyle w:val="2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64"/>
        <w:gridCol w:w="1838"/>
        <w:gridCol w:w="6787"/>
      </w:tblGrid>
      <w:tr w14:paraId="1B3A4B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875" w:type="dxa"/>
            <w:noWrap w:val="0"/>
            <w:vAlign w:val="center"/>
          </w:tcPr>
          <w:p w14:paraId="23FF2CB2">
            <w:pPr>
              <w:widowControl/>
              <w:jc w:val="center"/>
              <w:rPr>
                <w:b/>
                <w:color w:val="000000"/>
                <w:sz w:val="24"/>
              </w:rPr>
            </w:pPr>
            <w:r>
              <w:rPr>
                <w:b/>
                <w:color w:val="000000"/>
                <w:sz w:val="24"/>
              </w:rPr>
              <w:t>序号</w:t>
            </w:r>
          </w:p>
        </w:tc>
        <w:tc>
          <w:tcPr>
            <w:tcW w:w="1867" w:type="dxa"/>
            <w:noWrap w:val="0"/>
            <w:vAlign w:val="center"/>
          </w:tcPr>
          <w:p w14:paraId="411C2CBC">
            <w:pPr>
              <w:widowControl/>
              <w:jc w:val="center"/>
              <w:rPr>
                <w:b/>
                <w:color w:val="000000"/>
                <w:sz w:val="24"/>
              </w:rPr>
            </w:pPr>
            <w:r>
              <w:rPr>
                <w:b/>
                <w:color w:val="000000"/>
                <w:sz w:val="24"/>
              </w:rPr>
              <w:t>审查因素</w:t>
            </w:r>
          </w:p>
        </w:tc>
        <w:tc>
          <w:tcPr>
            <w:tcW w:w="6936" w:type="dxa"/>
            <w:noWrap w:val="0"/>
            <w:vAlign w:val="center"/>
          </w:tcPr>
          <w:p w14:paraId="1F33294C">
            <w:pPr>
              <w:widowControl/>
              <w:jc w:val="center"/>
              <w:rPr>
                <w:b/>
                <w:color w:val="000000"/>
                <w:sz w:val="24"/>
              </w:rPr>
            </w:pPr>
            <w:r>
              <w:rPr>
                <w:b/>
                <w:color w:val="000000"/>
                <w:sz w:val="24"/>
              </w:rPr>
              <w:t>审查内容</w:t>
            </w:r>
          </w:p>
        </w:tc>
      </w:tr>
      <w:tr w14:paraId="6C9AC7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1" w:hRule="atLeast"/>
          <w:jc w:val="center"/>
        </w:trPr>
        <w:tc>
          <w:tcPr>
            <w:tcW w:w="875" w:type="dxa"/>
            <w:noWrap w:val="0"/>
            <w:vAlign w:val="center"/>
          </w:tcPr>
          <w:p w14:paraId="4B54DC01">
            <w:pPr>
              <w:widowControl/>
              <w:jc w:val="center"/>
              <w:rPr>
                <w:color w:val="000000"/>
                <w:sz w:val="24"/>
              </w:rPr>
            </w:pPr>
            <w:r>
              <w:rPr>
                <w:color w:val="000000"/>
                <w:sz w:val="24"/>
              </w:rPr>
              <w:t>1</w:t>
            </w:r>
          </w:p>
        </w:tc>
        <w:tc>
          <w:tcPr>
            <w:tcW w:w="1867" w:type="dxa"/>
            <w:noWrap w:val="0"/>
            <w:vAlign w:val="center"/>
          </w:tcPr>
          <w:p w14:paraId="32E0FC36">
            <w:pPr>
              <w:widowControl/>
              <w:jc w:val="left"/>
              <w:rPr>
                <w:color w:val="000000"/>
                <w:sz w:val="24"/>
              </w:rPr>
            </w:pPr>
            <w:r>
              <w:rPr>
                <w:rFonts w:hint="eastAsia"/>
                <w:color w:val="000000"/>
                <w:sz w:val="24"/>
              </w:rPr>
              <w:t>响应函、法定代表人资格证明书和政府采购供应商信用承诺书</w:t>
            </w:r>
          </w:p>
        </w:tc>
        <w:tc>
          <w:tcPr>
            <w:tcW w:w="6936" w:type="dxa"/>
            <w:noWrap w:val="0"/>
            <w:vAlign w:val="center"/>
          </w:tcPr>
          <w:p w14:paraId="0740251B">
            <w:pPr>
              <w:widowControl/>
              <w:jc w:val="left"/>
              <w:rPr>
                <w:color w:val="000000"/>
                <w:sz w:val="24"/>
              </w:rPr>
            </w:pPr>
            <w:r>
              <w:rPr>
                <w:color w:val="000000"/>
                <w:sz w:val="24"/>
              </w:rPr>
              <w:t>按磋商文件要求提供</w:t>
            </w:r>
            <w:r>
              <w:rPr>
                <w:rFonts w:hint="eastAsia"/>
                <w:color w:val="000000"/>
                <w:sz w:val="24"/>
              </w:rPr>
              <w:t>响应函、法定代表人资格证明书和政府采购供应商信用承诺书</w:t>
            </w:r>
            <w:r>
              <w:rPr>
                <w:color w:val="000000"/>
                <w:sz w:val="24"/>
              </w:rPr>
              <w:t>；</w:t>
            </w:r>
          </w:p>
        </w:tc>
      </w:tr>
      <w:tr w14:paraId="0B2A08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875" w:type="dxa"/>
            <w:noWrap w:val="0"/>
            <w:vAlign w:val="center"/>
          </w:tcPr>
          <w:p w14:paraId="4EF13D04">
            <w:pPr>
              <w:widowControl/>
              <w:jc w:val="center"/>
              <w:rPr>
                <w:color w:val="000000"/>
                <w:sz w:val="24"/>
              </w:rPr>
            </w:pPr>
            <w:r>
              <w:rPr>
                <w:color w:val="000000"/>
                <w:sz w:val="24"/>
              </w:rPr>
              <w:t>2</w:t>
            </w:r>
          </w:p>
        </w:tc>
        <w:tc>
          <w:tcPr>
            <w:tcW w:w="1867" w:type="dxa"/>
            <w:noWrap w:val="0"/>
            <w:vAlign w:val="center"/>
          </w:tcPr>
          <w:p w14:paraId="78ECF758">
            <w:pPr>
              <w:widowControl/>
              <w:jc w:val="left"/>
              <w:rPr>
                <w:color w:val="000000"/>
                <w:sz w:val="24"/>
              </w:rPr>
            </w:pPr>
            <w:r>
              <w:rPr>
                <w:color w:val="000000"/>
                <w:sz w:val="24"/>
              </w:rPr>
              <w:t>响应完整性</w:t>
            </w:r>
          </w:p>
        </w:tc>
        <w:tc>
          <w:tcPr>
            <w:tcW w:w="6936" w:type="dxa"/>
            <w:noWrap w:val="0"/>
            <w:vAlign w:val="center"/>
          </w:tcPr>
          <w:p w14:paraId="7A70EC83">
            <w:pPr>
              <w:widowControl/>
              <w:jc w:val="left"/>
              <w:rPr>
                <w:color w:val="000000"/>
                <w:sz w:val="24"/>
              </w:rPr>
            </w:pPr>
            <w:r>
              <w:rPr>
                <w:rFonts w:hint="eastAsia"/>
                <w:sz w:val="24"/>
              </w:rPr>
              <w:t>未</w:t>
            </w:r>
            <w:r>
              <w:rPr>
                <w:sz w:val="24"/>
              </w:rPr>
              <w:t>将一个采购包中的内容拆开响应；</w:t>
            </w:r>
          </w:p>
        </w:tc>
      </w:tr>
      <w:tr w14:paraId="7ADBBE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jc w:val="center"/>
        </w:trPr>
        <w:tc>
          <w:tcPr>
            <w:tcW w:w="875" w:type="dxa"/>
            <w:noWrap w:val="0"/>
            <w:vAlign w:val="center"/>
          </w:tcPr>
          <w:p w14:paraId="1F31748F">
            <w:pPr>
              <w:widowControl/>
              <w:jc w:val="center"/>
              <w:rPr>
                <w:color w:val="000000"/>
                <w:sz w:val="24"/>
              </w:rPr>
            </w:pPr>
            <w:r>
              <w:rPr>
                <w:color w:val="000000"/>
                <w:sz w:val="24"/>
              </w:rPr>
              <w:t>3</w:t>
            </w:r>
          </w:p>
        </w:tc>
        <w:tc>
          <w:tcPr>
            <w:tcW w:w="1867" w:type="dxa"/>
            <w:noWrap w:val="0"/>
            <w:vAlign w:val="center"/>
          </w:tcPr>
          <w:p w14:paraId="778EEC96">
            <w:pPr>
              <w:widowControl/>
              <w:jc w:val="left"/>
              <w:rPr>
                <w:color w:val="000000"/>
                <w:sz w:val="24"/>
              </w:rPr>
            </w:pPr>
            <w:r>
              <w:rPr>
                <w:color w:val="000000"/>
                <w:sz w:val="24"/>
              </w:rPr>
              <w:t>响应报价</w:t>
            </w:r>
          </w:p>
        </w:tc>
        <w:tc>
          <w:tcPr>
            <w:tcW w:w="6936" w:type="dxa"/>
            <w:noWrap w:val="0"/>
            <w:vAlign w:val="center"/>
          </w:tcPr>
          <w:p w14:paraId="047E88E1">
            <w:pPr>
              <w:widowControl/>
              <w:jc w:val="left"/>
              <w:rPr>
                <w:color w:val="000000"/>
                <w:sz w:val="24"/>
              </w:rPr>
            </w:pPr>
            <w:r>
              <w:rPr>
                <w:color w:val="000000"/>
                <w:sz w:val="24"/>
              </w:rPr>
              <w:t>响应报价</w:t>
            </w:r>
            <w:r>
              <w:rPr>
                <w:rFonts w:hint="eastAsia"/>
                <w:color w:val="000000"/>
                <w:sz w:val="24"/>
              </w:rPr>
              <w:t>未</w:t>
            </w:r>
            <w:r>
              <w:rPr>
                <w:color w:val="000000"/>
                <w:sz w:val="24"/>
              </w:rPr>
              <w:t>超过磋商文件中规定的项目/采购包预算金额或者项目/采购包最高限价；</w:t>
            </w:r>
          </w:p>
        </w:tc>
      </w:tr>
      <w:tr w14:paraId="623D8E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5" w:hRule="atLeast"/>
          <w:jc w:val="center"/>
        </w:trPr>
        <w:tc>
          <w:tcPr>
            <w:tcW w:w="875" w:type="dxa"/>
            <w:noWrap w:val="0"/>
            <w:vAlign w:val="center"/>
          </w:tcPr>
          <w:p w14:paraId="3E6ADD43">
            <w:pPr>
              <w:widowControl/>
              <w:jc w:val="center"/>
              <w:rPr>
                <w:color w:val="000000"/>
                <w:sz w:val="24"/>
              </w:rPr>
            </w:pPr>
            <w:r>
              <w:rPr>
                <w:color w:val="000000"/>
                <w:sz w:val="24"/>
              </w:rPr>
              <w:t>4</w:t>
            </w:r>
          </w:p>
        </w:tc>
        <w:tc>
          <w:tcPr>
            <w:tcW w:w="1867" w:type="dxa"/>
            <w:noWrap w:val="0"/>
            <w:vAlign w:val="center"/>
          </w:tcPr>
          <w:p w14:paraId="050AB076">
            <w:pPr>
              <w:widowControl/>
              <w:jc w:val="left"/>
              <w:rPr>
                <w:color w:val="000000"/>
                <w:sz w:val="24"/>
              </w:rPr>
            </w:pPr>
            <w:r>
              <w:rPr>
                <w:color w:val="000000"/>
                <w:sz w:val="24"/>
              </w:rPr>
              <w:t>报价唯一性</w:t>
            </w:r>
          </w:p>
        </w:tc>
        <w:tc>
          <w:tcPr>
            <w:tcW w:w="6936" w:type="dxa"/>
            <w:noWrap w:val="0"/>
            <w:vAlign w:val="center"/>
          </w:tcPr>
          <w:p w14:paraId="2E8BCAA4">
            <w:pPr>
              <w:widowControl/>
              <w:jc w:val="left"/>
              <w:rPr>
                <w:color w:val="000000"/>
                <w:sz w:val="24"/>
              </w:rPr>
            </w:pPr>
            <w:r>
              <w:rPr>
                <w:color w:val="000000"/>
                <w:sz w:val="24"/>
              </w:rPr>
              <w:t>响应文件</w:t>
            </w:r>
            <w:r>
              <w:rPr>
                <w:rFonts w:hint="eastAsia"/>
                <w:color w:val="000000"/>
                <w:sz w:val="24"/>
              </w:rPr>
              <w:t>未</w:t>
            </w:r>
            <w:r>
              <w:rPr>
                <w:rFonts w:hint="eastAsia"/>
                <w:sz w:val="24"/>
              </w:rPr>
              <w:t>出现可选择性或可调整的报价（磋商文件另有规定的除外）</w:t>
            </w:r>
            <w:r>
              <w:rPr>
                <w:color w:val="000000"/>
                <w:sz w:val="24"/>
              </w:rPr>
              <w:t>；</w:t>
            </w:r>
          </w:p>
        </w:tc>
      </w:tr>
      <w:tr w14:paraId="144AC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jc w:val="center"/>
        </w:trPr>
        <w:tc>
          <w:tcPr>
            <w:tcW w:w="875" w:type="dxa"/>
            <w:noWrap w:val="0"/>
            <w:vAlign w:val="center"/>
          </w:tcPr>
          <w:p w14:paraId="0EFE2260">
            <w:pPr>
              <w:widowControl/>
              <w:jc w:val="center"/>
              <w:rPr>
                <w:color w:val="000000"/>
                <w:sz w:val="24"/>
              </w:rPr>
            </w:pPr>
            <w:r>
              <w:rPr>
                <w:color w:val="000000"/>
                <w:sz w:val="24"/>
              </w:rPr>
              <w:t>5</w:t>
            </w:r>
          </w:p>
        </w:tc>
        <w:tc>
          <w:tcPr>
            <w:tcW w:w="1867" w:type="dxa"/>
            <w:noWrap w:val="0"/>
            <w:vAlign w:val="center"/>
          </w:tcPr>
          <w:p w14:paraId="17D96006">
            <w:pPr>
              <w:widowControl/>
              <w:jc w:val="left"/>
              <w:rPr>
                <w:color w:val="000000"/>
                <w:sz w:val="24"/>
              </w:rPr>
            </w:pPr>
            <w:r>
              <w:rPr>
                <w:color w:val="000000"/>
                <w:sz w:val="24"/>
              </w:rPr>
              <w:t>响应有效期</w:t>
            </w:r>
          </w:p>
        </w:tc>
        <w:tc>
          <w:tcPr>
            <w:tcW w:w="6936" w:type="dxa"/>
            <w:noWrap w:val="0"/>
            <w:vAlign w:val="center"/>
          </w:tcPr>
          <w:p w14:paraId="200A5AB4">
            <w:pPr>
              <w:widowControl/>
              <w:jc w:val="left"/>
              <w:rPr>
                <w:color w:val="000000"/>
                <w:sz w:val="24"/>
              </w:rPr>
            </w:pPr>
            <w:r>
              <w:rPr>
                <w:color w:val="000000"/>
                <w:sz w:val="24"/>
              </w:rPr>
              <w:t>响应文件中承诺的响应有效期</w:t>
            </w:r>
            <w:r>
              <w:rPr>
                <w:rFonts w:hint="eastAsia"/>
                <w:color w:val="000000"/>
                <w:sz w:val="24"/>
              </w:rPr>
              <w:t>满足</w:t>
            </w:r>
            <w:r>
              <w:rPr>
                <w:color w:val="000000"/>
                <w:sz w:val="24"/>
              </w:rPr>
              <w:t>磋商文件中载明的响应有效期的；</w:t>
            </w:r>
          </w:p>
        </w:tc>
      </w:tr>
      <w:tr w14:paraId="4B36E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2" w:hRule="atLeast"/>
          <w:jc w:val="center"/>
        </w:trPr>
        <w:tc>
          <w:tcPr>
            <w:tcW w:w="875" w:type="dxa"/>
            <w:noWrap w:val="0"/>
            <w:vAlign w:val="center"/>
          </w:tcPr>
          <w:p w14:paraId="30F1F516">
            <w:pPr>
              <w:widowControl/>
              <w:jc w:val="center"/>
              <w:rPr>
                <w:color w:val="000000"/>
                <w:sz w:val="24"/>
              </w:rPr>
            </w:pPr>
            <w:r>
              <w:rPr>
                <w:color w:val="000000"/>
                <w:sz w:val="24"/>
              </w:rPr>
              <w:t>6</w:t>
            </w:r>
          </w:p>
        </w:tc>
        <w:tc>
          <w:tcPr>
            <w:tcW w:w="1867" w:type="dxa"/>
            <w:noWrap w:val="0"/>
            <w:vAlign w:val="center"/>
          </w:tcPr>
          <w:p w14:paraId="54F524E3">
            <w:pPr>
              <w:widowControl/>
              <w:jc w:val="left"/>
              <w:rPr>
                <w:color w:val="000000"/>
                <w:sz w:val="24"/>
              </w:rPr>
            </w:pPr>
            <w:r>
              <w:rPr>
                <w:color w:val="000000"/>
                <w:sz w:val="24"/>
              </w:rPr>
              <w:t>签署、加盖公章</w:t>
            </w:r>
          </w:p>
        </w:tc>
        <w:tc>
          <w:tcPr>
            <w:tcW w:w="6936" w:type="dxa"/>
            <w:noWrap w:val="0"/>
            <w:vAlign w:val="center"/>
          </w:tcPr>
          <w:p w14:paraId="7541E48D">
            <w:pPr>
              <w:widowControl/>
              <w:jc w:val="left"/>
              <w:rPr>
                <w:color w:val="000000"/>
                <w:sz w:val="24"/>
              </w:rPr>
            </w:pPr>
            <w:r>
              <w:rPr>
                <w:color w:val="000000"/>
                <w:sz w:val="24"/>
              </w:rPr>
              <w:t>按照磋商文件要求签署、加盖公章的；</w:t>
            </w:r>
          </w:p>
        </w:tc>
      </w:tr>
      <w:tr w14:paraId="102172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7" w:hRule="atLeast"/>
          <w:jc w:val="center"/>
        </w:trPr>
        <w:tc>
          <w:tcPr>
            <w:tcW w:w="875" w:type="dxa"/>
            <w:noWrap w:val="0"/>
            <w:vAlign w:val="center"/>
          </w:tcPr>
          <w:p w14:paraId="46838AC2">
            <w:pPr>
              <w:widowControl/>
              <w:jc w:val="center"/>
              <w:rPr>
                <w:color w:val="000000"/>
                <w:sz w:val="24"/>
              </w:rPr>
            </w:pPr>
            <w:r>
              <w:rPr>
                <w:rFonts w:hint="eastAsia"/>
                <w:color w:val="000000"/>
                <w:sz w:val="24"/>
              </w:rPr>
              <w:t>7</w:t>
            </w:r>
          </w:p>
        </w:tc>
        <w:tc>
          <w:tcPr>
            <w:tcW w:w="1867" w:type="dxa"/>
            <w:noWrap w:val="0"/>
            <w:vAlign w:val="center"/>
          </w:tcPr>
          <w:p w14:paraId="3CA28B56">
            <w:pPr>
              <w:widowControl/>
              <w:jc w:val="left"/>
              <w:rPr>
                <w:color w:val="000000"/>
                <w:sz w:val="24"/>
              </w:rPr>
            </w:pPr>
            <w:r>
              <w:rPr>
                <w:rFonts w:hint="eastAsia"/>
                <w:color w:val="000000"/>
                <w:sz w:val="24"/>
              </w:rPr>
              <w:t>实质性格式</w:t>
            </w:r>
          </w:p>
        </w:tc>
        <w:tc>
          <w:tcPr>
            <w:tcW w:w="6936" w:type="dxa"/>
            <w:noWrap w:val="0"/>
            <w:vAlign w:val="center"/>
          </w:tcPr>
          <w:p w14:paraId="442400D7">
            <w:pPr>
              <w:widowControl/>
              <w:jc w:val="left"/>
              <w:rPr>
                <w:color w:val="000000"/>
                <w:sz w:val="24"/>
              </w:rPr>
            </w:pPr>
            <w:r>
              <w:rPr>
                <w:rFonts w:hint="eastAsia"/>
                <w:sz w:val="24"/>
              </w:rPr>
              <w:t>标记为</w:t>
            </w:r>
            <w:r>
              <w:rPr>
                <w:rFonts w:hint="eastAsia"/>
                <w:sz w:val="24"/>
                <w:lang w:eastAsia="zh-CN"/>
              </w:rPr>
              <w:t>“</w:t>
            </w:r>
            <w:r>
              <w:rPr>
                <w:sz w:val="24"/>
              </w:rPr>
              <w:t>实质性格式</w:t>
            </w:r>
            <w:r>
              <w:rPr>
                <w:rFonts w:hint="eastAsia"/>
                <w:sz w:val="24"/>
                <w:lang w:eastAsia="zh-CN"/>
              </w:rPr>
              <w:t>”</w:t>
            </w:r>
            <w:r>
              <w:rPr>
                <w:sz w:val="24"/>
              </w:rPr>
              <w:t>的</w:t>
            </w:r>
            <w:r>
              <w:rPr>
                <w:rFonts w:hint="eastAsia"/>
                <w:sz w:val="24"/>
              </w:rPr>
              <w:t>文件均按</w:t>
            </w:r>
            <w:r>
              <w:rPr>
                <w:sz w:val="24"/>
              </w:rPr>
              <w:t>磋商文件</w:t>
            </w:r>
            <w:r>
              <w:rPr>
                <w:rFonts w:hint="eastAsia"/>
                <w:sz w:val="24"/>
              </w:rPr>
              <w:t>要求提供；</w:t>
            </w:r>
          </w:p>
        </w:tc>
      </w:tr>
      <w:tr w14:paraId="6DC2C8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jc w:val="center"/>
        </w:trPr>
        <w:tc>
          <w:tcPr>
            <w:tcW w:w="875" w:type="dxa"/>
            <w:noWrap w:val="0"/>
            <w:vAlign w:val="center"/>
          </w:tcPr>
          <w:p w14:paraId="6A11E2F5">
            <w:pPr>
              <w:widowControl/>
              <w:jc w:val="center"/>
              <w:rPr>
                <w:rFonts w:hint="eastAsia" w:eastAsia="宋体"/>
                <w:color w:val="000000"/>
                <w:sz w:val="24"/>
                <w:lang w:eastAsia="zh-CN"/>
              </w:rPr>
            </w:pPr>
            <w:r>
              <w:rPr>
                <w:rFonts w:hint="eastAsia"/>
                <w:color w:val="000000"/>
                <w:sz w:val="24"/>
                <w:lang w:val="en-US" w:eastAsia="zh-CN"/>
              </w:rPr>
              <w:t>8</w:t>
            </w:r>
          </w:p>
        </w:tc>
        <w:tc>
          <w:tcPr>
            <w:tcW w:w="1867" w:type="dxa"/>
            <w:noWrap w:val="0"/>
            <w:vAlign w:val="center"/>
          </w:tcPr>
          <w:p w14:paraId="0D2B0CB6">
            <w:pPr>
              <w:widowControl/>
              <w:jc w:val="left"/>
              <w:rPr>
                <w:color w:val="000000"/>
                <w:sz w:val="24"/>
              </w:rPr>
            </w:pPr>
            <w:r>
              <w:rPr>
                <w:color w:val="000000"/>
                <w:sz w:val="24"/>
              </w:rPr>
              <w:t>报价的修正（如有）</w:t>
            </w:r>
          </w:p>
        </w:tc>
        <w:tc>
          <w:tcPr>
            <w:tcW w:w="6936" w:type="dxa"/>
            <w:noWrap w:val="0"/>
            <w:vAlign w:val="center"/>
          </w:tcPr>
          <w:p w14:paraId="72CFAAA5">
            <w:pPr>
              <w:widowControl/>
              <w:jc w:val="left"/>
              <w:rPr>
                <w:color w:val="000000"/>
                <w:sz w:val="24"/>
              </w:rPr>
            </w:pPr>
            <w:r>
              <w:rPr>
                <w:rFonts w:hint="eastAsia"/>
                <w:color w:val="000000"/>
                <w:sz w:val="24"/>
              </w:rPr>
              <w:t>不涉及报价修正</w:t>
            </w:r>
            <w:r>
              <w:rPr>
                <w:color w:val="000000"/>
                <w:sz w:val="24"/>
              </w:rPr>
              <w:t>，或响应文件报价出现前后不一致</w:t>
            </w:r>
            <w:r>
              <w:rPr>
                <w:rFonts w:hint="eastAsia"/>
                <w:color w:val="000000"/>
                <w:sz w:val="24"/>
              </w:rPr>
              <w:t>时</w:t>
            </w:r>
            <w:r>
              <w:rPr>
                <w:color w:val="000000"/>
                <w:sz w:val="24"/>
              </w:rPr>
              <w:t>，供应商对修正后的报价予</w:t>
            </w:r>
            <w:r>
              <w:rPr>
                <w:rFonts w:hint="eastAsia"/>
                <w:color w:val="000000"/>
                <w:sz w:val="24"/>
              </w:rPr>
              <w:t>以</w:t>
            </w:r>
            <w:r>
              <w:rPr>
                <w:color w:val="000000"/>
                <w:sz w:val="24"/>
              </w:rPr>
              <w:t>确认；（如有）</w:t>
            </w:r>
          </w:p>
        </w:tc>
      </w:tr>
      <w:tr w14:paraId="6F318D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6" w:hRule="atLeast"/>
          <w:jc w:val="center"/>
        </w:trPr>
        <w:tc>
          <w:tcPr>
            <w:tcW w:w="875" w:type="dxa"/>
            <w:noWrap w:val="0"/>
            <w:vAlign w:val="center"/>
          </w:tcPr>
          <w:p w14:paraId="5D766EAD">
            <w:pPr>
              <w:widowControl/>
              <w:jc w:val="center"/>
              <w:rPr>
                <w:rFonts w:hint="eastAsia" w:eastAsia="宋体"/>
                <w:color w:val="000000"/>
                <w:sz w:val="24"/>
                <w:lang w:eastAsia="zh-CN"/>
              </w:rPr>
            </w:pPr>
            <w:r>
              <w:rPr>
                <w:rFonts w:hint="eastAsia"/>
                <w:color w:val="000000"/>
                <w:sz w:val="24"/>
                <w:lang w:val="en-US" w:eastAsia="zh-CN"/>
              </w:rPr>
              <w:t>9</w:t>
            </w:r>
          </w:p>
        </w:tc>
        <w:tc>
          <w:tcPr>
            <w:tcW w:w="1867" w:type="dxa"/>
            <w:noWrap w:val="0"/>
            <w:vAlign w:val="center"/>
          </w:tcPr>
          <w:p w14:paraId="478B6E44">
            <w:pPr>
              <w:widowControl/>
              <w:jc w:val="left"/>
              <w:rPr>
                <w:color w:val="000000"/>
                <w:sz w:val="24"/>
              </w:rPr>
            </w:pPr>
            <w:r>
              <w:rPr>
                <w:color w:val="000000"/>
                <w:sz w:val="24"/>
              </w:rPr>
              <w:t>公平竞争</w:t>
            </w:r>
          </w:p>
        </w:tc>
        <w:tc>
          <w:tcPr>
            <w:tcW w:w="6936" w:type="dxa"/>
            <w:noWrap w:val="0"/>
            <w:vAlign w:val="center"/>
          </w:tcPr>
          <w:p w14:paraId="1C7BB6B2">
            <w:pPr>
              <w:widowControl/>
              <w:jc w:val="left"/>
              <w:rPr>
                <w:color w:val="000000"/>
                <w:sz w:val="24"/>
              </w:rPr>
            </w:pPr>
            <w:r>
              <w:rPr>
                <w:color w:val="000000"/>
                <w:sz w:val="24"/>
              </w:rPr>
              <w:t>供应商遵循公平竞争的原则，不存在恶意串通，妨碍其他供应商的竞争行为，不存在损害采购人或者其他供应商的合法权益情形的；</w:t>
            </w:r>
          </w:p>
        </w:tc>
      </w:tr>
      <w:tr w14:paraId="67ACFD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66" w:hRule="atLeast"/>
          <w:jc w:val="center"/>
        </w:trPr>
        <w:tc>
          <w:tcPr>
            <w:tcW w:w="875" w:type="dxa"/>
            <w:noWrap w:val="0"/>
            <w:vAlign w:val="center"/>
          </w:tcPr>
          <w:p w14:paraId="53B709E4">
            <w:pPr>
              <w:widowControl/>
              <w:jc w:val="center"/>
              <w:rPr>
                <w:rFonts w:hint="eastAsia" w:eastAsia="宋体"/>
                <w:color w:val="000000"/>
                <w:sz w:val="24"/>
                <w:lang w:eastAsia="zh-CN"/>
              </w:rPr>
            </w:pPr>
            <w:r>
              <w:rPr>
                <w:color w:val="000000"/>
                <w:sz w:val="24"/>
              </w:rPr>
              <w:t>1</w:t>
            </w:r>
            <w:r>
              <w:rPr>
                <w:rFonts w:hint="eastAsia"/>
                <w:color w:val="000000"/>
                <w:sz w:val="24"/>
                <w:lang w:val="en-US" w:eastAsia="zh-CN"/>
              </w:rPr>
              <w:t>0</w:t>
            </w:r>
          </w:p>
        </w:tc>
        <w:tc>
          <w:tcPr>
            <w:tcW w:w="1867" w:type="dxa"/>
            <w:noWrap w:val="0"/>
            <w:vAlign w:val="center"/>
          </w:tcPr>
          <w:p w14:paraId="5887A520">
            <w:pPr>
              <w:widowControl/>
              <w:jc w:val="left"/>
              <w:rPr>
                <w:color w:val="000000"/>
                <w:sz w:val="24"/>
              </w:rPr>
            </w:pPr>
            <w:r>
              <w:rPr>
                <w:color w:val="000000"/>
                <w:sz w:val="24"/>
              </w:rPr>
              <w:t>串通响应</w:t>
            </w:r>
          </w:p>
        </w:tc>
        <w:tc>
          <w:tcPr>
            <w:tcW w:w="6936" w:type="dxa"/>
            <w:noWrap w:val="0"/>
            <w:vAlign w:val="center"/>
          </w:tcPr>
          <w:p w14:paraId="3BE7D1BC">
            <w:pPr>
              <w:widowControl/>
              <w:jc w:val="left"/>
              <w:rPr>
                <w:color w:val="000000"/>
                <w:sz w:val="24"/>
              </w:rPr>
            </w:pPr>
            <w:r>
              <w:rPr>
                <w:rFonts w:ascii="宋体" w:hAnsi="宋体" w:eastAsia="宋体" w:cs="宋体"/>
                <w:color w:val="000000"/>
                <w:sz w:val="24"/>
              </w:rPr>
              <w:t>不存在《政府采购货物和服务招标响应管理办法》视为供应商串通响应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w:t>
            </w:r>
          </w:p>
        </w:tc>
      </w:tr>
      <w:tr w14:paraId="5674E2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5" w:type="dxa"/>
            <w:noWrap w:val="0"/>
            <w:vAlign w:val="center"/>
          </w:tcPr>
          <w:p w14:paraId="24B14DC4">
            <w:pPr>
              <w:widowControl/>
              <w:jc w:val="center"/>
              <w:rPr>
                <w:rFonts w:hint="eastAsia" w:eastAsia="宋体"/>
                <w:color w:val="000000"/>
                <w:sz w:val="24"/>
                <w:lang w:eastAsia="zh-CN"/>
              </w:rPr>
            </w:pPr>
            <w:r>
              <w:rPr>
                <w:color w:val="000000"/>
                <w:sz w:val="24"/>
              </w:rPr>
              <w:t>1</w:t>
            </w:r>
            <w:r>
              <w:rPr>
                <w:rFonts w:hint="eastAsia"/>
                <w:color w:val="000000"/>
                <w:sz w:val="24"/>
                <w:lang w:val="en-US" w:eastAsia="zh-CN"/>
              </w:rPr>
              <w:t>1</w:t>
            </w:r>
          </w:p>
        </w:tc>
        <w:tc>
          <w:tcPr>
            <w:tcW w:w="1867" w:type="dxa"/>
            <w:noWrap w:val="0"/>
            <w:vAlign w:val="center"/>
          </w:tcPr>
          <w:p w14:paraId="723269DF">
            <w:pPr>
              <w:widowControl/>
              <w:jc w:val="left"/>
              <w:rPr>
                <w:color w:val="000000"/>
                <w:sz w:val="24"/>
              </w:rPr>
            </w:pPr>
            <w:r>
              <w:rPr>
                <w:color w:val="000000"/>
                <w:sz w:val="24"/>
              </w:rPr>
              <w:t>附加条件</w:t>
            </w:r>
          </w:p>
        </w:tc>
        <w:tc>
          <w:tcPr>
            <w:tcW w:w="6936" w:type="dxa"/>
            <w:noWrap w:val="0"/>
            <w:vAlign w:val="center"/>
          </w:tcPr>
          <w:p w14:paraId="26315B8C">
            <w:pPr>
              <w:widowControl/>
              <w:jc w:val="left"/>
              <w:rPr>
                <w:color w:val="000000"/>
                <w:sz w:val="24"/>
              </w:rPr>
            </w:pPr>
            <w:r>
              <w:rPr>
                <w:color w:val="000000"/>
                <w:sz w:val="24"/>
              </w:rPr>
              <w:t>响应文件</w:t>
            </w:r>
            <w:r>
              <w:rPr>
                <w:rFonts w:hint="eastAsia"/>
                <w:color w:val="000000"/>
                <w:sz w:val="24"/>
              </w:rPr>
              <w:t>未</w:t>
            </w:r>
            <w:r>
              <w:rPr>
                <w:color w:val="000000"/>
                <w:sz w:val="24"/>
              </w:rPr>
              <w:t>含有采购人不能接受的附加条件的；</w:t>
            </w:r>
          </w:p>
        </w:tc>
      </w:tr>
      <w:tr w14:paraId="58C196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875" w:type="dxa"/>
            <w:noWrap w:val="0"/>
            <w:vAlign w:val="center"/>
          </w:tcPr>
          <w:p w14:paraId="500708F7">
            <w:pPr>
              <w:widowControl/>
              <w:jc w:val="center"/>
              <w:rPr>
                <w:rFonts w:hint="eastAsia" w:eastAsia="宋体"/>
                <w:sz w:val="24"/>
                <w:szCs w:val="24"/>
                <w:lang w:val="en-US" w:eastAsia="zh-CN" w:bidi="ar-SA"/>
              </w:rPr>
            </w:pPr>
            <w:r>
              <w:rPr>
                <w:rFonts w:hint="eastAsia"/>
                <w:sz w:val="24"/>
              </w:rPr>
              <w:t>1</w:t>
            </w:r>
            <w:r>
              <w:rPr>
                <w:rFonts w:hint="eastAsia"/>
                <w:sz w:val="24"/>
                <w:lang w:val="en-US" w:eastAsia="zh-CN"/>
              </w:rPr>
              <w:t>2</w:t>
            </w:r>
          </w:p>
        </w:tc>
        <w:tc>
          <w:tcPr>
            <w:tcW w:w="1867" w:type="dxa"/>
            <w:noWrap w:val="0"/>
            <w:vAlign w:val="center"/>
          </w:tcPr>
          <w:p w14:paraId="6CDF4DF5">
            <w:pPr>
              <w:widowControl/>
              <w:jc w:val="left"/>
              <w:rPr>
                <w:b/>
                <w:bCs/>
                <w:sz w:val="24"/>
                <w:szCs w:val="24"/>
                <w:lang w:val="en-US" w:eastAsia="zh-CN" w:bidi="ar-SA"/>
              </w:rPr>
            </w:pPr>
            <w:r>
              <w:rPr>
                <w:rFonts w:hint="eastAsia"/>
                <w:b/>
                <w:sz w:val="24"/>
              </w:rPr>
              <w:t>最终报价</w:t>
            </w:r>
          </w:p>
        </w:tc>
        <w:tc>
          <w:tcPr>
            <w:tcW w:w="6936" w:type="dxa"/>
            <w:noWrap w:val="0"/>
            <w:vAlign w:val="center"/>
          </w:tcPr>
          <w:p w14:paraId="746FF663">
            <w:pPr>
              <w:spacing w:line="360" w:lineRule="auto"/>
              <w:jc w:val="left"/>
              <w:rPr>
                <w:rFonts w:hint="eastAsia"/>
                <w:b/>
                <w:bCs/>
                <w:sz w:val="24"/>
                <w:szCs w:val="24"/>
                <w:lang w:val="en-US" w:eastAsia="zh-CN" w:bidi="ar-SA"/>
              </w:rPr>
            </w:pPr>
            <w:r>
              <w:rPr>
                <w:rFonts w:hint="eastAsia" w:ascii="宋体" w:hAnsi="宋体"/>
                <w:b/>
                <w:bCs/>
                <w:sz w:val="24"/>
              </w:rPr>
              <w:t>供应商最终报价未高于首次报价的；</w:t>
            </w:r>
          </w:p>
        </w:tc>
      </w:tr>
      <w:tr w14:paraId="7C927E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875" w:type="dxa"/>
            <w:noWrap w:val="0"/>
            <w:vAlign w:val="center"/>
          </w:tcPr>
          <w:p w14:paraId="6FBE8C87">
            <w:pPr>
              <w:widowControl/>
              <w:jc w:val="center"/>
              <w:rPr>
                <w:rFonts w:hint="eastAsia" w:eastAsia="宋体"/>
                <w:color w:val="000000"/>
                <w:sz w:val="24"/>
                <w:lang w:eastAsia="zh-CN"/>
              </w:rPr>
            </w:pPr>
            <w:r>
              <w:rPr>
                <w:rFonts w:hint="eastAsia"/>
                <w:color w:val="000000"/>
                <w:sz w:val="24"/>
              </w:rPr>
              <w:t>1</w:t>
            </w:r>
            <w:r>
              <w:rPr>
                <w:rFonts w:hint="eastAsia"/>
                <w:color w:val="000000"/>
                <w:sz w:val="24"/>
                <w:lang w:val="en-US" w:eastAsia="zh-CN"/>
              </w:rPr>
              <w:t>3</w:t>
            </w:r>
          </w:p>
        </w:tc>
        <w:tc>
          <w:tcPr>
            <w:tcW w:w="1867" w:type="dxa"/>
            <w:noWrap w:val="0"/>
            <w:vAlign w:val="center"/>
          </w:tcPr>
          <w:p w14:paraId="01D2C69F">
            <w:pPr>
              <w:widowControl/>
              <w:jc w:val="left"/>
              <w:rPr>
                <w:color w:val="000000"/>
                <w:sz w:val="24"/>
              </w:rPr>
            </w:pPr>
            <w:r>
              <w:rPr>
                <w:color w:val="000000"/>
                <w:sz w:val="24"/>
              </w:rPr>
              <w:t>其他无效情形</w:t>
            </w:r>
          </w:p>
        </w:tc>
        <w:tc>
          <w:tcPr>
            <w:tcW w:w="6936" w:type="dxa"/>
            <w:noWrap w:val="0"/>
            <w:vAlign w:val="center"/>
          </w:tcPr>
          <w:p w14:paraId="507B3239">
            <w:pPr>
              <w:widowControl/>
              <w:jc w:val="left"/>
              <w:rPr>
                <w:color w:val="000000"/>
                <w:sz w:val="24"/>
              </w:rPr>
            </w:pPr>
            <w:r>
              <w:rPr>
                <w:color w:val="000000"/>
                <w:sz w:val="24"/>
              </w:rPr>
              <w:t>供应商、响应文件</w:t>
            </w:r>
            <w:r>
              <w:rPr>
                <w:rFonts w:hint="eastAsia"/>
                <w:color w:val="000000"/>
                <w:sz w:val="24"/>
              </w:rPr>
              <w:t>不存在</w:t>
            </w:r>
            <w:r>
              <w:rPr>
                <w:color w:val="000000"/>
                <w:sz w:val="24"/>
              </w:rPr>
              <w:t>不符合法律、法规和磋商文件规定的其他无效情形。</w:t>
            </w:r>
          </w:p>
        </w:tc>
      </w:tr>
    </w:tbl>
    <w:p w14:paraId="1B552188">
      <w:pPr>
        <w:keepNext w:val="0"/>
        <w:keepLines w:val="0"/>
        <w:pageBreakBefore w:val="0"/>
        <w:widowControl w:val="0"/>
        <w:numPr>
          <w:ilvl w:val="0"/>
          <w:numId w:val="0"/>
        </w:numPr>
        <w:tabs>
          <w:tab w:val="left" w:pos="360"/>
        </w:tabs>
        <w:spacing w:line="360" w:lineRule="auto"/>
        <w:ind w:left="0" w:firstLine="480"/>
        <w:outlineLvl w:val="1"/>
        <w:rPr>
          <w:sz w:val="24"/>
        </w:rPr>
      </w:pPr>
      <w:r>
        <w:rPr>
          <w:rFonts w:hint="eastAsia" w:ascii="宋体" w:hAnsi="宋体" w:eastAsia="宋体" w:cs="宋体"/>
          <w:sz w:val="24"/>
          <w:szCs w:val="24"/>
          <w:lang w:val="en-US" w:eastAsia="zh-CN"/>
        </w:rPr>
        <w:t>2</w:t>
      </w:r>
      <w:r>
        <w:rPr>
          <w:rFonts w:ascii="宋体" w:hAnsi="宋体" w:eastAsia="宋体" w:cs="宋体"/>
          <w:sz w:val="24"/>
          <w:szCs w:val="24"/>
        </w:rPr>
        <w:t>磋商、响应文件有关事项的澄清、说明或者更正和最终报价</w:t>
      </w:r>
    </w:p>
    <w:p w14:paraId="23F47895">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hint="eastAsia" w:ascii="宋体" w:hAnsi="宋体" w:eastAsia="宋体" w:cs="宋体"/>
          <w:sz w:val="24"/>
          <w:szCs w:val="24"/>
          <w:lang w:val="en-US" w:eastAsia="zh-CN"/>
        </w:rPr>
        <w:t>2.1</w:t>
      </w:r>
      <w:r>
        <w:rPr>
          <w:rFonts w:ascii="宋体" w:hAnsi="宋体" w:eastAsia="宋体" w:cs="宋体"/>
          <w:sz w:val="24"/>
          <w:szCs w:val="24"/>
        </w:rPr>
        <w:t xml:space="preserve">磋商小组所有成员应当集中与单一供应商分别进行磋商，并给予所有参加磋商的供应商平等的磋商机会。 </w:t>
      </w:r>
    </w:p>
    <w:p w14:paraId="6979CFD6">
      <w:pPr>
        <w:keepNext w:val="0"/>
        <w:keepLines w:val="0"/>
        <w:pageBreakBefore w:val="0"/>
        <w:widowControl w:val="0"/>
        <w:numPr>
          <w:ilvl w:val="0"/>
          <w:numId w:val="0"/>
        </w:numPr>
        <w:tabs>
          <w:tab w:val="left" w:pos="360"/>
        </w:tabs>
        <w:spacing w:line="360" w:lineRule="auto"/>
        <w:ind w:left="0" w:firstLine="480"/>
        <w:outlineLvl w:val="1"/>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color w:val="auto"/>
          <w:sz w:val="24"/>
          <w:szCs w:val="24"/>
          <w:lang w:val="en-US" w:eastAsia="zh-CN"/>
        </w:rPr>
        <w:t>2磋商小组认为供应商的报价明显低于其他通过符合性审查供应商的报价，有可能影响服务质量或者不能诚信履约的，有权要求该供应商在规定的时间内提供书面说明，必要时提交相关证明材料；若供应商不能证明其报价合理性，磋商小组将其作为无效响应处理。</w:t>
      </w:r>
    </w:p>
    <w:p w14:paraId="45842951">
      <w:pPr>
        <w:keepNext w:val="0"/>
        <w:keepLines w:val="0"/>
        <w:pageBreakBefore w:val="0"/>
        <w:widowControl w:val="0"/>
        <w:numPr>
          <w:ilvl w:val="0"/>
          <w:numId w:val="0"/>
        </w:numPr>
        <w:tabs>
          <w:tab w:val="left" w:pos="360"/>
        </w:tabs>
        <w:spacing w:line="360" w:lineRule="auto"/>
        <w:ind w:left="0" w:firstLine="480"/>
        <w:outlineLvl w:val="1"/>
        <w:rPr>
          <w:sz w:val="24"/>
        </w:rPr>
      </w:pPr>
      <w:r>
        <w:rPr>
          <w:rFonts w:hint="eastAsia" w:ascii="宋体" w:hAnsi="宋体" w:eastAsia="宋体" w:cs="宋体"/>
          <w:sz w:val="24"/>
          <w:szCs w:val="24"/>
          <w:lang w:val="en-US" w:eastAsia="zh-CN"/>
        </w:rPr>
        <w:t>2.3</w:t>
      </w:r>
      <w:r>
        <w:rPr>
          <w:rFonts w:ascii="宋体" w:hAnsi="宋体" w:eastAsia="宋体" w:cs="宋体"/>
          <w:sz w:val="24"/>
          <w:szCs w:val="24"/>
        </w:rPr>
        <w:t xml:space="preserve">在磋商过程中，磋商小组可以根据磋商文件和磋商情况实质性变动采购需求中的技术、服务要求以及合同草案条款，但不得变动磋商文件中的其他内容。实质性变动的内容，须经采购人代表确认。 </w:t>
      </w:r>
    </w:p>
    <w:p w14:paraId="5A359457">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hint="eastAsia" w:ascii="宋体" w:hAnsi="宋体" w:eastAsia="宋体" w:cs="宋体"/>
          <w:sz w:val="24"/>
          <w:szCs w:val="24"/>
          <w:lang w:val="en-US" w:eastAsia="zh-CN"/>
        </w:rPr>
        <w:t>2.4对磋商文件作出的实质性变动是磋商文件的有效组成部分，磋商小组应当及时通过“苏采云”政府采购一体化平台系统以书面形式同时通知所有参加磋商的供应商。</w:t>
      </w:r>
    </w:p>
    <w:p w14:paraId="30708856">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val="en-US" w:eastAsia="zh-CN"/>
        </w:rPr>
        <w:t>5</w:t>
      </w:r>
      <w:r>
        <w:rPr>
          <w:rFonts w:ascii="宋体" w:hAnsi="宋体" w:eastAsia="宋体" w:cs="宋体"/>
          <w:sz w:val="24"/>
          <w:szCs w:val="24"/>
        </w:rPr>
        <w:t xml:space="preserve"> 供应商应当按照磋商文件的变动情况和磋商小组的要求重新提交响应文件，并由其法定代表人或授权代表签字或者加盖公章。由授权代表签字的，应当附授权委托书。供应商为自然人的，应当由本人签字并附身份证明。 </w:t>
      </w:r>
    </w:p>
    <w:p w14:paraId="7591C776">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val="en-US" w:eastAsia="zh-CN"/>
        </w:rPr>
        <w:t>6</w:t>
      </w:r>
      <w:r>
        <w:rPr>
          <w:rFonts w:ascii="宋体" w:hAnsi="宋体" w:eastAsia="宋体" w:cs="宋体"/>
          <w:sz w:val="24"/>
          <w:szCs w:val="24"/>
        </w:rPr>
        <w:t xml:space="preserve"> 响应文件的澄清、说明或者更正： </w:t>
      </w:r>
    </w:p>
    <w:p w14:paraId="4DE9D716">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ascii="宋体" w:hAnsi="宋体" w:eastAsia="宋体" w:cs="宋体"/>
          <w:sz w:val="24"/>
          <w:szCs w:val="24"/>
        </w:rPr>
        <w:t>评审过程中，磋商小组会将通过</w:t>
      </w:r>
      <w:r>
        <w:rPr>
          <w:rFonts w:hint="eastAsia" w:ascii="宋体" w:hAnsi="宋体" w:eastAsia="宋体" w:cs="宋体"/>
          <w:sz w:val="24"/>
          <w:szCs w:val="24"/>
          <w:lang w:eastAsia="zh-CN"/>
        </w:rPr>
        <w:t>“苏采云”政府采购一体化平台</w:t>
      </w:r>
      <w:r>
        <w:rPr>
          <w:rFonts w:ascii="宋体" w:hAnsi="宋体" w:eastAsia="宋体" w:cs="宋体"/>
          <w:sz w:val="24"/>
          <w:szCs w:val="24"/>
        </w:rPr>
        <w:t>系统以书面形式要求供应商对其响应文件中含义不明确、同类问题表述不一致或者有明显文字和计算错误的内容，作出必要的澄清、说明或者补正。供应商的澄清、说明或者补正应当采用书面形式，并加盖公章。供应商的澄清、说明或者补正不得超出响应文件的范围或者改变响应文件的实质性内容。澄清文件将作为响应文件内容的一部分。</w:t>
      </w:r>
    </w:p>
    <w:p w14:paraId="0F1B15AE">
      <w:pPr>
        <w:keepNext w:val="0"/>
        <w:keepLines w:val="0"/>
        <w:pageBreakBefore w:val="0"/>
        <w:widowControl w:val="0"/>
        <w:numPr>
          <w:ilvl w:val="0"/>
          <w:numId w:val="0"/>
        </w:numPr>
        <w:tabs>
          <w:tab w:val="left" w:pos="360"/>
        </w:tabs>
        <w:spacing w:line="360" w:lineRule="auto"/>
        <w:ind w:left="0" w:firstLine="482"/>
        <w:outlineLvl w:val="1"/>
      </w:pPr>
      <w:r>
        <w:rPr>
          <w:rFonts w:ascii="宋体" w:hAnsi="宋体" w:eastAsia="宋体" w:cs="宋体"/>
          <w:b/>
          <w:bCs/>
          <w:sz w:val="24"/>
          <w:szCs w:val="24"/>
        </w:rPr>
        <w:t>2.</w:t>
      </w:r>
      <w:r>
        <w:rPr>
          <w:rFonts w:hint="eastAsia" w:ascii="宋体" w:hAnsi="宋体" w:eastAsia="宋体" w:cs="宋体"/>
          <w:b/>
          <w:bCs/>
          <w:sz w:val="24"/>
          <w:szCs w:val="24"/>
          <w:lang w:val="en-US" w:eastAsia="zh-CN"/>
        </w:rPr>
        <w:t>7</w:t>
      </w:r>
      <w:r>
        <w:rPr>
          <w:rFonts w:ascii="宋体" w:hAnsi="宋体" w:eastAsia="宋体" w:cs="宋体"/>
          <w:b/>
          <w:bCs/>
          <w:sz w:val="24"/>
          <w:szCs w:val="24"/>
        </w:rPr>
        <w:t xml:space="preserve"> </w:t>
      </w:r>
      <w:r>
        <w:rPr>
          <w:rFonts w:hint="eastAsia" w:ascii="宋体" w:hAnsi="宋体" w:eastAsia="宋体" w:cs="宋体"/>
          <w:b/>
          <w:bCs/>
          <w:sz w:val="24"/>
          <w:szCs w:val="24"/>
        </w:rPr>
        <w:t>响应文件的响应报价作为首次报价，在磋商结束后，磋商小组将要求所有实质性响应的供应商在规定时间内通过</w:t>
      </w:r>
      <w:r>
        <w:rPr>
          <w:rFonts w:hint="eastAsia" w:ascii="宋体" w:hAnsi="宋体" w:eastAsia="宋体" w:cs="宋体"/>
          <w:b/>
          <w:bCs/>
          <w:sz w:val="24"/>
          <w:szCs w:val="24"/>
          <w:lang w:eastAsia="zh-CN"/>
        </w:rPr>
        <w:t>“</w:t>
      </w:r>
      <w:r>
        <w:rPr>
          <w:rFonts w:hint="eastAsia" w:ascii="宋体" w:hAnsi="宋体" w:eastAsia="宋体" w:cs="宋体"/>
          <w:b/>
          <w:bCs/>
          <w:sz w:val="24"/>
          <w:szCs w:val="24"/>
        </w:rPr>
        <w:t>苏采云</w:t>
      </w:r>
      <w:r>
        <w:rPr>
          <w:rFonts w:hint="eastAsia" w:ascii="宋体" w:hAnsi="宋体" w:eastAsia="宋体" w:cs="宋体"/>
          <w:b/>
          <w:bCs/>
          <w:sz w:val="24"/>
          <w:szCs w:val="24"/>
          <w:lang w:eastAsia="zh-CN"/>
        </w:rPr>
        <w:t>”</w:t>
      </w:r>
      <w:r>
        <w:rPr>
          <w:rFonts w:hint="eastAsia" w:ascii="宋体" w:hAnsi="宋体" w:eastAsia="宋体" w:cs="宋体"/>
          <w:b/>
          <w:bCs/>
          <w:sz w:val="24"/>
          <w:szCs w:val="24"/>
        </w:rPr>
        <w:t>系统提交最终报价。最终报价不得高于首次报价。</w:t>
      </w:r>
    </w:p>
    <w:p w14:paraId="0F8ECB52">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val="en-US" w:eastAsia="zh-CN"/>
        </w:rPr>
        <w:t>8</w:t>
      </w:r>
      <w:r>
        <w:rPr>
          <w:rFonts w:ascii="宋体" w:hAnsi="宋体" w:eastAsia="宋体" w:cs="宋体"/>
          <w:sz w:val="24"/>
          <w:szCs w:val="24"/>
        </w:rPr>
        <w:t xml:space="preserve"> 磋商文件能够详细列明采购标的的技术、服务要求的，磋商结束后，磋商小组应当要求所有实质性响应的供应商在规定时间内提交最终报价，提交最终报价的供应商不得少于3 家。磋商文件不能详细列明采购标的的技术、服务要求，需经磋商由供应商提供最终设计方案或解决方案的，磋商结束后，磋商小组应当按照少数服从多数的原则投票推荐 3 家以上供应商的设计方案或者解决方案，并要求其在规定时间内提交最终报价。市场竞争不充分的科研项目，以及需要扶持的科技成果转化项目，提交最终报价的供应商可以为 2 家；政府购买服务项目（含政府和社会资本合作项目），在采购过程中符合要求的供应商（社会资本）只有 2 家的，竞争性磋商采购活动可以继续进行。 </w:t>
      </w:r>
    </w:p>
    <w:p w14:paraId="2F4A495C">
      <w:pPr>
        <w:keepNext w:val="0"/>
        <w:keepLines w:val="0"/>
        <w:pageBreakBefore w:val="0"/>
        <w:widowControl w:val="0"/>
        <w:numPr>
          <w:ilvl w:val="0"/>
          <w:numId w:val="0"/>
        </w:numPr>
        <w:tabs>
          <w:tab w:val="left" w:pos="360"/>
        </w:tabs>
        <w:spacing w:line="360" w:lineRule="auto"/>
        <w:ind w:left="0" w:firstLine="480"/>
        <w:outlineLvl w:val="1"/>
        <w:rPr>
          <w:rFonts w:ascii="宋体" w:hAnsi="宋体" w:eastAsia="宋体" w:cs="宋体"/>
          <w:sz w:val="24"/>
          <w:szCs w:val="24"/>
        </w:rPr>
      </w:pPr>
      <w:r>
        <w:rPr>
          <w:rFonts w:ascii="宋体" w:hAnsi="宋体" w:eastAsia="宋体" w:cs="宋体"/>
          <w:sz w:val="24"/>
          <w:szCs w:val="24"/>
        </w:rPr>
        <w:t>2.</w:t>
      </w:r>
      <w:r>
        <w:rPr>
          <w:rFonts w:hint="eastAsia" w:ascii="宋体" w:hAnsi="宋体" w:eastAsia="宋体" w:cs="宋体"/>
          <w:sz w:val="24"/>
          <w:szCs w:val="24"/>
          <w:lang w:val="en-US" w:eastAsia="zh-CN"/>
        </w:rPr>
        <w:t>9</w:t>
      </w:r>
      <w:r>
        <w:rPr>
          <w:rFonts w:ascii="宋体" w:hAnsi="宋体" w:eastAsia="宋体" w:cs="宋体"/>
          <w:sz w:val="24"/>
          <w:szCs w:val="24"/>
        </w:rPr>
        <w:t xml:space="preserve"> 最终报价是供应商响应文件的有效组成部分。 </w:t>
      </w:r>
    </w:p>
    <w:p w14:paraId="4C667DBB">
      <w:pPr>
        <w:keepNext w:val="0"/>
        <w:keepLines w:val="0"/>
        <w:pageBreakBefore w:val="0"/>
        <w:widowControl w:val="0"/>
        <w:numPr>
          <w:ilvl w:val="0"/>
          <w:numId w:val="0"/>
        </w:numPr>
        <w:tabs>
          <w:tab w:val="left" w:pos="360"/>
        </w:tabs>
        <w:spacing w:line="360" w:lineRule="auto"/>
        <w:ind w:left="0" w:firstLine="480"/>
        <w:outlineLvl w:val="1"/>
        <w:rPr>
          <w:sz w:val="24"/>
        </w:rPr>
      </w:pPr>
      <w:r>
        <w:rPr>
          <w:rFonts w:ascii="宋体" w:hAnsi="宋体" w:eastAsia="宋体" w:cs="宋体"/>
          <w:sz w:val="24"/>
          <w:szCs w:val="24"/>
        </w:rPr>
        <w:t>2.</w:t>
      </w:r>
      <w:r>
        <w:rPr>
          <w:rFonts w:hint="eastAsia" w:ascii="宋体" w:hAnsi="宋体" w:eastAsia="宋体" w:cs="宋体"/>
          <w:sz w:val="24"/>
          <w:szCs w:val="24"/>
          <w:lang w:val="en-US" w:eastAsia="zh-CN"/>
        </w:rPr>
        <w:t>10</w:t>
      </w:r>
      <w:r>
        <w:rPr>
          <w:rFonts w:ascii="宋体" w:hAnsi="宋体" w:eastAsia="宋体" w:cs="宋体"/>
          <w:sz w:val="24"/>
          <w:szCs w:val="24"/>
        </w:rPr>
        <w:t xml:space="preserve"> 已提交响应文件的供应商，在提交最终报价之前，可以根据磋商情况退出磋商。</w:t>
      </w:r>
    </w:p>
    <w:p w14:paraId="502DB51E">
      <w:pPr>
        <w:numPr>
          <w:ilvl w:val="0"/>
          <w:numId w:val="0"/>
        </w:numPr>
        <w:tabs>
          <w:tab w:val="left" w:pos="360"/>
        </w:tabs>
        <w:spacing w:line="360" w:lineRule="auto"/>
        <w:ind w:firstLine="480"/>
        <w:outlineLvl w:val="1"/>
        <w:rPr>
          <w:sz w:val="24"/>
        </w:rPr>
      </w:pPr>
      <w:r>
        <w:rPr>
          <w:rFonts w:hint="eastAsia" w:ascii="宋体" w:hAnsi="宋体" w:eastAsia="宋体" w:cs="宋体"/>
          <w:sz w:val="24"/>
          <w:szCs w:val="24"/>
          <w:lang w:val="en-US" w:eastAsia="zh-CN"/>
        </w:rPr>
        <w:t>3</w:t>
      </w:r>
      <w:r>
        <w:rPr>
          <w:sz w:val="24"/>
        </w:rPr>
        <w:t>最终报价的算术修正及政策调整</w:t>
      </w:r>
    </w:p>
    <w:bookmarkEnd w:id="622"/>
    <w:bookmarkEnd w:id="623"/>
    <w:p w14:paraId="6A6C9645">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3.1 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w:t>
      </w:r>
      <w:r>
        <w:rPr>
          <w:rFonts w:ascii="宋体" w:hAnsi="宋体" w:eastAsia="宋体" w:cs="宋体"/>
          <w:b/>
          <w:bCs/>
          <w:sz w:val="24"/>
          <w:szCs w:val="24"/>
        </w:rPr>
        <w:t>其响应无效。</w:t>
      </w:r>
      <w:r>
        <w:rPr>
          <w:rFonts w:ascii="宋体" w:hAnsi="宋体" w:eastAsia="宋体" w:cs="宋体"/>
          <w:sz w:val="24"/>
          <w:szCs w:val="24"/>
        </w:rPr>
        <w:t xml:space="preserve"> </w:t>
      </w:r>
    </w:p>
    <w:p w14:paraId="0589E417">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3.2 最终报价出现前后不一致的，按照下列规定修正：</w:t>
      </w:r>
    </w:p>
    <w:p w14:paraId="454F54EE">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3.2.1 竞争性磋商文件对于报价修正是否另有规定：</w:t>
      </w:r>
    </w:p>
    <w:p w14:paraId="321EC1B9">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无，按下述 3.2.2-3.2.5 项规定修正。</w:t>
      </w:r>
    </w:p>
    <w:p w14:paraId="768F7C4A">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3.2.2 大写金额和小写金额不一致的，以大写金额为准； </w:t>
      </w:r>
    </w:p>
    <w:p w14:paraId="4F88B4D1">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3.2.3 单价金额小数点或者百分比有明显错位的，以最终报价一览表的总价为准，并修改单价； </w:t>
      </w:r>
    </w:p>
    <w:p w14:paraId="60FA8FDA">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3.2.4 总价金额与按单价汇总金额不一致的，以单价金额计算结果为准。 </w:t>
      </w:r>
    </w:p>
    <w:p w14:paraId="0EF64008">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3.2.5 同时出现两种以上不一致的，按照前款规定的顺序修正。修正后的报价经供应商 书面确认后产生约束力，供应商不确认的，</w:t>
      </w:r>
      <w:r>
        <w:rPr>
          <w:rFonts w:ascii="宋体" w:hAnsi="宋体" w:eastAsia="宋体" w:cs="宋体"/>
          <w:b/>
          <w:bCs/>
          <w:sz w:val="24"/>
          <w:szCs w:val="24"/>
        </w:rPr>
        <w:t>其响应无效</w:t>
      </w:r>
      <w:r>
        <w:rPr>
          <w:rFonts w:ascii="宋体" w:hAnsi="宋体" w:eastAsia="宋体" w:cs="宋体"/>
          <w:sz w:val="24"/>
          <w:szCs w:val="24"/>
        </w:rPr>
        <w:t xml:space="preserve">。 </w:t>
      </w:r>
    </w:p>
    <w:p w14:paraId="3A2E4B2E">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3.3 落实政府采购政策的价格调整：只有符合第二章《供应商须知》4.2 条规定情形的，可以享受中小企业扶持政策，用扣除后的价格参加评审；否则，评审时价格不予扣除。 </w:t>
      </w:r>
    </w:p>
    <w:p w14:paraId="4F47690D">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3.3.1 对于未预留份额专门面向中小企业采购的采购项目，以及预留份额项目中的非预留部分采购包，对</w:t>
      </w:r>
      <w:r>
        <w:rPr>
          <w:rFonts w:ascii="宋体" w:hAnsi="宋体" w:eastAsia="宋体" w:cs="宋体"/>
          <w:b/>
          <w:bCs/>
          <w:sz w:val="24"/>
          <w:szCs w:val="24"/>
        </w:rPr>
        <w:t>小微企业</w:t>
      </w:r>
      <w:r>
        <w:rPr>
          <w:rFonts w:ascii="宋体" w:hAnsi="宋体" w:eastAsia="宋体" w:cs="宋体"/>
          <w:sz w:val="24"/>
          <w:szCs w:val="24"/>
        </w:rPr>
        <w:t xml:space="preserve">报价给予10%的扣除，用扣除后的价格参加评审。 </w:t>
      </w:r>
    </w:p>
    <w:p w14:paraId="37A17BB3">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3.3.2 对于未预留份额专门面向中小企业采购的采购项目，以及预留份额项目中的非预留部分采购包，且接受大中型企业与</w:t>
      </w:r>
      <w:r>
        <w:rPr>
          <w:rFonts w:ascii="宋体" w:hAnsi="宋体" w:eastAsia="宋体" w:cs="宋体"/>
          <w:b/>
          <w:bCs/>
          <w:sz w:val="24"/>
          <w:szCs w:val="24"/>
        </w:rPr>
        <w:t>小微企业</w:t>
      </w:r>
      <w:r>
        <w:rPr>
          <w:rFonts w:ascii="宋体" w:hAnsi="宋体" w:eastAsia="宋体" w:cs="宋体"/>
          <w:sz w:val="24"/>
          <w:szCs w:val="24"/>
        </w:rPr>
        <w:t>组成联合体或者允许大中型企业向一家或者多家</w:t>
      </w:r>
      <w:r>
        <w:rPr>
          <w:rFonts w:ascii="宋体" w:hAnsi="宋体" w:eastAsia="宋体" w:cs="宋体"/>
          <w:b/>
          <w:bCs/>
          <w:sz w:val="24"/>
          <w:szCs w:val="24"/>
        </w:rPr>
        <w:t>小微企业</w:t>
      </w:r>
      <w:r>
        <w:rPr>
          <w:rFonts w:ascii="宋体" w:hAnsi="宋体" w:eastAsia="宋体" w:cs="宋体"/>
          <w:sz w:val="24"/>
          <w:szCs w:val="24"/>
        </w:rPr>
        <w:t>分包的采购项目，对于联合协议或者分包意向协议约定</w:t>
      </w:r>
      <w:r>
        <w:rPr>
          <w:rFonts w:ascii="宋体" w:hAnsi="宋体" w:eastAsia="宋体" w:cs="宋体"/>
          <w:b/>
          <w:bCs/>
          <w:sz w:val="24"/>
          <w:szCs w:val="24"/>
        </w:rPr>
        <w:t>小微企业</w:t>
      </w:r>
      <w:r>
        <w:rPr>
          <w:rFonts w:ascii="宋体" w:hAnsi="宋体" w:eastAsia="宋体" w:cs="宋体"/>
          <w:sz w:val="24"/>
          <w:szCs w:val="24"/>
        </w:rPr>
        <w:t xml:space="preserve">的合同份额占到合同总金额 30%以上的联合体或者大中型企业的报价给予 3%的扣除，用扣除后的价格参加评审。 </w:t>
      </w:r>
    </w:p>
    <w:p w14:paraId="6DD695DF">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3.3.3 组成联合体或者接受分包的小微企业与联合体内其他企业、分包企业之间存在直接控股、管理关系的，不享受价格扣除优惠政策。 </w:t>
      </w:r>
    </w:p>
    <w:p w14:paraId="3A467062">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3.3.4 价格扣除比例对小型企业和微型企业同等对待，不作区分。 </w:t>
      </w:r>
    </w:p>
    <w:p w14:paraId="50D15CFE">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3.3.5 中小企业参加政府采购活动，应当按照竞争性磋商文件给定的格式出具《中小企 业声明函》，否则不得享受相关中小企业扶持政策。</w:t>
      </w:r>
    </w:p>
    <w:p w14:paraId="74B9667F">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3.3.6 监狱企业提供了由省级以上监狱管理局（常州市含教育矫治局）、戒毒管理局（含新疆生产建设兵团）出具的属于监狱企业的证明文件的，视同小微企业。 </w:t>
      </w:r>
    </w:p>
    <w:p w14:paraId="29926F57">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3.3.7 残疾人福利性单位按竞争性磋商文件要求提供了《残疾人福利性单位声明函》（见附件）的，视同小微企业。 </w:t>
      </w:r>
    </w:p>
    <w:p w14:paraId="1BBD0C82">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3.3.8 若供应商同时属于小型或微型企业、监狱企业、残疾人福利性单位中的两种及以上，将不重复享受小微企业价格扣减的优惠政策。</w:t>
      </w:r>
    </w:p>
    <w:p w14:paraId="4403B1D9">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3.3.9 其他为落实政府采购政策实施的优先采购：</w:t>
      </w:r>
      <w:r>
        <w:rPr>
          <w:rFonts w:ascii="宋体" w:hAnsi="宋体" w:eastAsia="宋体" w:cs="宋体"/>
          <w:sz w:val="24"/>
          <w:szCs w:val="24"/>
          <w:u w:val="single"/>
        </w:rPr>
        <w:t xml:space="preserve"> / </w:t>
      </w:r>
      <w:r>
        <w:rPr>
          <w:rFonts w:ascii="宋体" w:hAnsi="宋体" w:eastAsia="宋体" w:cs="宋体"/>
          <w:sz w:val="24"/>
          <w:szCs w:val="24"/>
        </w:rPr>
        <w:t xml:space="preserve">。 </w:t>
      </w:r>
    </w:p>
    <w:p w14:paraId="3DDE6FA9">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 磋商环节及提交最终报价后如出现以下情况的，供应商的</w:t>
      </w:r>
      <w:r>
        <w:rPr>
          <w:rFonts w:ascii="宋体" w:hAnsi="宋体" w:eastAsia="宋体" w:cs="宋体"/>
          <w:b/>
          <w:bCs/>
          <w:sz w:val="24"/>
          <w:szCs w:val="24"/>
        </w:rPr>
        <w:t>响应文件无效</w:t>
      </w:r>
      <w:r>
        <w:rPr>
          <w:rFonts w:ascii="宋体" w:hAnsi="宋体" w:eastAsia="宋体" w:cs="宋体"/>
          <w:sz w:val="24"/>
          <w:szCs w:val="24"/>
        </w:rPr>
        <w:t xml:space="preserve">： </w:t>
      </w:r>
    </w:p>
    <w:p w14:paraId="50CA2600">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4.1 供应商对实质性变动不予确认的；</w:t>
      </w:r>
    </w:p>
    <w:p w14:paraId="3F788297">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hint="eastAsia" w:ascii="宋体" w:hAnsi="宋体" w:eastAsia="宋体" w:cs="宋体"/>
          <w:sz w:val="24"/>
          <w:szCs w:val="24"/>
          <w:lang w:val="en-US" w:eastAsia="zh-CN"/>
        </w:rPr>
        <w:t>4.2</w:t>
      </w:r>
      <w:r>
        <w:rPr>
          <w:rFonts w:hint="eastAsia" w:ascii="宋体" w:hAnsi="宋体" w:eastAsia="宋体" w:cs="宋体"/>
          <w:sz w:val="24"/>
          <w:szCs w:val="24"/>
        </w:rPr>
        <w:t>不满足磋商文件★号条款或磋商文件技术指标超出磋商文件《采购需求》中主要技术参数允许偏差的最大范围的（如有）</w:t>
      </w:r>
    </w:p>
    <w:p w14:paraId="37CDE478">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3</w:t>
      </w:r>
      <w:r>
        <w:rPr>
          <w:rFonts w:ascii="宋体" w:hAnsi="宋体" w:eastAsia="宋体" w:cs="宋体"/>
          <w:sz w:val="24"/>
          <w:szCs w:val="24"/>
        </w:rPr>
        <w:t xml:space="preserve"> 未按照磋商小组规定的时间、逾期提交最终报价的； </w:t>
      </w:r>
    </w:p>
    <w:p w14:paraId="3B847167">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4</w:t>
      </w:r>
      <w:r>
        <w:rPr>
          <w:rFonts w:ascii="宋体" w:hAnsi="宋体" w:eastAsia="宋体" w:cs="宋体"/>
          <w:sz w:val="24"/>
          <w:szCs w:val="24"/>
        </w:rPr>
        <w:t xml:space="preserve"> 如供应商的最终报价超过竞争性磋商文件中规定的项目/采购包预算金额或者项目/采购包最高限价的； </w:t>
      </w:r>
    </w:p>
    <w:p w14:paraId="4163C4B3">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5</w:t>
      </w:r>
      <w:r>
        <w:rPr>
          <w:rFonts w:ascii="宋体" w:hAnsi="宋体" w:eastAsia="宋体" w:cs="宋体"/>
          <w:sz w:val="24"/>
          <w:szCs w:val="24"/>
        </w:rPr>
        <w:t xml:space="preserve"> 响应文件中出现可选择性或可调整的报价的（竞争性磋商文件另有规定的除外）； </w:t>
      </w:r>
    </w:p>
    <w:p w14:paraId="1A7091EC">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6</w:t>
      </w:r>
      <w:r>
        <w:rPr>
          <w:rFonts w:ascii="宋体" w:hAnsi="宋体" w:eastAsia="宋体" w:cs="宋体"/>
          <w:sz w:val="24"/>
          <w:szCs w:val="24"/>
        </w:rPr>
        <w:t xml:space="preserve"> 最终报价出现前后不一致，供应商对修正后的报价不予确认的；</w:t>
      </w:r>
    </w:p>
    <w:p w14:paraId="62805944">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4.</w:t>
      </w:r>
      <w:r>
        <w:rPr>
          <w:rFonts w:hint="eastAsia" w:ascii="宋体" w:hAnsi="宋体" w:eastAsia="宋体" w:cs="宋体"/>
          <w:sz w:val="24"/>
          <w:szCs w:val="24"/>
          <w:lang w:val="en-US" w:eastAsia="zh-CN"/>
        </w:rPr>
        <w:t>7</w:t>
      </w:r>
      <w:r>
        <w:rPr>
          <w:rFonts w:ascii="宋体" w:hAnsi="宋体" w:eastAsia="宋体" w:cs="宋体"/>
          <w:sz w:val="24"/>
          <w:szCs w:val="24"/>
        </w:rPr>
        <w:t xml:space="preserve"> </w:t>
      </w:r>
      <w:r>
        <w:rPr>
          <w:rFonts w:hint="eastAsia" w:ascii="宋体" w:hAnsi="宋体" w:eastAsia="宋体" w:cs="宋体"/>
          <w:sz w:val="24"/>
          <w:szCs w:val="24"/>
        </w:rPr>
        <w:t>最终报价高于首次报价</w:t>
      </w:r>
      <w:r>
        <w:rPr>
          <w:rFonts w:hint="eastAsia" w:ascii="宋体" w:hAnsi="宋体" w:eastAsia="宋体" w:cs="宋体"/>
          <w:sz w:val="24"/>
          <w:szCs w:val="24"/>
          <w:lang w:eastAsia="zh-CN"/>
        </w:rPr>
        <w:t>的</w:t>
      </w:r>
      <w:r>
        <w:rPr>
          <w:rFonts w:ascii="宋体" w:hAnsi="宋体" w:eastAsia="宋体" w:cs="宋体"/>
          <w:sz w:val="24"/>
          <w:szCs w:val="24"/>
        </w:rPr>
        <w:t>。</w:t>
      </w:r>
    </w:p>
    <w:p w14:paraId="199565F8">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none"/>
          <w:lang w:val="en-US" w:eastAsia="zh-CN"/>
        </w:rPr>
        <w:t>4.8</w:t>
      </w:r>
      <w:r>
        <w:rPr>
          <w:rFonts w:hint="eastAsia" w:ascii="宋体" w:hAnsi="宋体" w:cs="宋体"/>
          <w:b/>
          <w:bCs/>
          <w:sz w:val="24"/>
          <w:szCs w:val="24"/>
          <w:u w:val="none"/>
          <w:lang w:val="en-US" w:eastAsia="zh-CN"/>
        </w:rPr>
        <w:t xml:space="preserve"> </w:t>
      </w:r>
      <w:r>
        <w:rPr>
          <w:rFonts w:ascii="宋体" w:hAnsi="宋体" w:eastAsia="宋体" w:cs="宋体"/>
          <w:b/>
          <w:bCs/>
          <w:sz w:val="24"/>
          <w:szCs w:val="24"/>
          <w:u w:val="single"/>
        </w:rPr>
        <w:t>其他：</w:t>
      </w:r>
      <w:r>
        <w:rPr>
          <w:rFonts w:hint="eastAsia" w:ascii="宋体" w:hAnsi="宋体" w:eastAsia="宋体" w:cs="宋体"/>
          <w:b/>
          <w:bCs/>
          <w:sz w:val="24"/>
          <w:szCs w:val="24"/>
          <w:u w:val="single"/>
          <w:lang w:val="en-US" w:eastAsia="zh-CN"/>
        </w:rPr>
        <w:t>评审委员会启动异常低价投标（响应）审查的情形和具体要求，包括：</w:t>
      </w:r>
    </w:p>
    <w:p w14:paraId="16E5750E">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（一）评审过程中出现下列情形之一的，评审委员会应当启动异常低价投标（响应）审查程序：</w:t>
      </w:r>
    </w:p>
    <w:p w14:paraId="0E3CB7AE">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1.投标（响应）报价低于采购项目预算50%的，即投标（响应）报价&lt;采购项目预算×50% ；</w:t>
      </w:r>
    </w:p>
    <w:p w14:paraId="33A16EAE">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2.投标（响应）报价低于采购项目最高限价45%的，即投标（响应）报价&lt;采购项目最高限价×45% ；</w:t>
      </w:r>
    </w:p>
    <w:p w14:paraId="20300F3D">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u w:val="single"/>
          <w:lang w:val="en-US" w:eastAsia="zh-CN"/>
        </w:rPr>
      </w:pPr>
      <w:r>
        <w:rPr>
          <w:rFonts w:hint="eastAsia" w:ascii="宋体" w:hAnsi="宋体" w:eastAsia="宋体" w:cs="宋体"/>
          <w:b/>
          <w:bCs/>
          <w:sz w:val="24"/>
          <w:szCs w:val="24"/>
          <w:u w:val="single"/>
          <w:lang w:val="en-US" w:eastAsia="zh-CN"/>
        </w:rPr>
        <w:t>3.评审委员会认定的供应商报价过低、有可能影响产品质量或者不能诚信履约的其他情形。</w:t>
      </w:r>
    </w:p>
    <w:p w14:paraId="37C8577D">
      <w:pPr>
        <w:widowControl/>
        <w:numPr>
          <w:ilvl w:val="0"/>
          <w:numId w:val="0"/>
        </w:numPr>
        <w:tabs>
          <w:tab w:val="left" w:pos="840"/>
          <w:tab w:val="left" w:pos="1872"/>
        </w:tabs>
        <w:spacing w:line="360" w:lineRule="auto"/>
        <w:ind w:firstLine="480"/>
        <w:jc w:val="left"/>
        <w:rPr>
          <w:rFonts w:hint="eastAsia" w:ascii="宋体" w:hAnsi="宋体" w:eastAsia="宋体" w:cs="宋体"/>
          <w:b/>
          <w:bCs/>
          <w:sz w:val="24"/>
          <w:szCs w:val="24"/>
          <w:lang w:val="en-US" w:eastAsia="zh-CN"/>
        </w:rPr>
      </w:pPr>
      <w:r>
        <w:rPr>
          <w:rFonts w:hint="eastAsia" w:ascii="宋体" w:hAnsi="宋体" w:eastAsia="宋体" w:cs="宋体"/>
          <w:b/>
          <w:bCs/>
          <w:sz w:val="24"/>
          <w:szCs w:val="24"/>
          <w:u w:val="single"/>
          <w:lang w:val="en-US" w:eastAsia="zh-CN"/>
        </w:rPr>
        <w:t>（二）启动异常低价投标（响应）审查后，评审委员会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49D34C0">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5 评审方法和评审标准 </w:t>
      </w:r>
    </w:p>
    <w:p w14:paraId="7AE6C9D6">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5.1 本项目采用的评审方法为：本项目的评审采用</w:t>
      </w:r>
      <w:r>
        <w:rPr>
          <w:rFonts w:ascii="宋体" w:hAnsi="宋体" w:eastAsia="宋体" w:cs="宋体"/>
          <w:b w:val="0"/>
          <w:bCs w:val="0"/>
          <w:sz w:val="24"/>
          <w:szCs w:val="24"/>
          <w:u w:val="none"/>
        </w:rPr>
        <w:t>综合评分法</w:t>
      </w:r>
      <w:r>
        <w:rPr>
          <w:rFonts w:ascii="宋体" w:hAnsi="宋体" w:eastAsia="宋体" w:cs="宋体"/>
          <w:sz w:val="24"/>
          <w:szCs w:val="24"/>
        </w:rPr>
        <w:t xml:space="preserve">。综合评分法，是指响应文件满足磋商文件全部实质性要求且按评审因素的量化指标评审得分最高的供应商为成交候选供应商的评审方法。 </w:t>
      </w:r>
    </w:p>
    <w:p w14:paraId="213E38FE">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5.2 竞争性磋商文件中没有规定的评审标准不得作为评审依据。 </w:t>
      </w:r>
    </w:p>
    <w:p w14:paraId="19399617">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6 确定成交候选人名单</w:t>
      </w:r>
    </w:p>
    <w:p w14:paraId="255DF92C">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6.1 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Pr>
          <w:rFonts w:hint="eastAsia" w:ascii="宋体" w:hAnsi="宋体" w:eastAsia="宋体" w:cs="宋体"/>
          <w:b/>
          <w:bCs/>
          <w:sz w:val="24"/>
          <w:szCs w:val="24"/>
        </w:rPr>
        <w:t>若综合得分相同的，则投标报价低的为第一成交候选人；若综合得分相同，报价相同，则抽签确定第一成交候选人</w:t>
      </w:r>
      <w:r>
        <w:rPr>
          <w:rFonts w:hint="eastAsia" w:ascii="宋体" w:hAnsi="宋体" w:eastAsia="宋体" w:cs="宋体"/>
          <w:sz w:val="24"/>
          <w:szCs w:val="24"/>
        </w:rPr>
        <w:t>。</w:t>
      </w:r>
    </w:p>
    <w:p w14:paraId="15F59C71">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6.2 磋商小组根据上述供应商排序，依次推荐排序前 3 名的供应商为成交候选供应商（若在磋商文件允许的情形下提交最终报价的供应商为二家，则依次推荐二名供应商为成交候选供应商），并编写评审报告。 </w:t>
      </w:r>
    </w:p>
    <w:p w14:paraId="21F9982C">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6.3 磋商小组要对评分汇总情况进行复核，特别是对排名第一的、报价最低的、响应文件被认定为无效的情形进行重点复核。 </w:t>
      </w:r>
    </w:p>
    <w:p w14:paraId="026EEE21">
      <w:pPr>
        <w:widowControl/>
        <w:numPr>
          <w:ilvl w:val="0"/>
          <w:numId w:val="0"/>
        </w:numPr>
        <w:tabs>
          <w:tab w:val="left" w:pos="840"/>
          <w:tab w:val="left" w:pos="1872"/>
        </w:tabs>
        <w:spacing w:line="360" w:lineRule="auto"/>
        <w:ind w:firstLine="480"/>
        <w:jc w:val="left"/>
        <w:rPr>
          <w:rFonts w:ascii="宋体" w:hAnsi="宋体" w:eastAsia="宋体" w:cs="宋体"/>
          <w:sz w:val="24"/>
          <w:szCs w:val="24"/>
        </w:rPr>
      </w:pPr>
      <w:r>
        <w:rPr>
          <w:rFonts w:ascii="宋体" w:hAnsi="宋体" w:eastAsia="宋体" w:cs="宋体"/>
          <w:sz w:val="24"/>
          <w:szCs w:val="24"/>
        </w:rPr>
        <w:t xml:space="preserve">7 报告违法行为 </w:t>
      </w:r>
    </w:p>
    <w:p w14:paraId="689D6362">
      <w:pPr>
        <w:widowControl/>
        <w:numPr>
          <w:ilvl w:val="0"/>
          <w:numId w:val="0"/>
        </w:numPr>
        <w:tabs>
          <w:tab w:val="left" w:pos="840"/>
          <w:tab w:val="left" w:pos="1872"/>
        </w:tabs>
        <w:spacing w:line="360" w:lineRule="auto"/>
        <w:ind w:firstLine="480"/>
        <w:jc w:val="left"/>
        <w:rPr>
          <w:b/>
          <w:sz w:val="24"/>
        </w:rPr>
      </w:pPr>
      <w:r>
        <w:rPr>
          <w:rFonts w:ascii="宋体" w:hAnsi="宋体" w:eastAsia="宋体" w:cs="宋体"/>
          <w:sz w:val="24"/>
          <w:szCs w:val="24"/>
        </w:rPr>
        <w:t>7.1 磋商小组在评审过程中发现供应商有行贿、提供虚假材料或者串通等违法行为时，有向采购人、采购代理机构或者有关部门报告的职责。</w:t>
      </w:r>
    </w:p>
    <w:p w14:paraId="3A3984F3">
      <w:pPr>
        <w:pStyle w:val="184"/>
        <w:spacing w:before="0" w:line="360" w:lineRule="auto"/>
        <w:rPr>
          <w:rFonts w:ascii="Times New Roman" w:hAnsi="Times New Roman" w:eastAsia="宋体"/>
          <w:sz w:val="24"/>
          <w:szCs w:val="24"/>
        </w:rPr>
      </w:pPr>
    </w:p>
    <w:p w14:paraId="522D3DD9">
      <w:pPr>
        <w:pStyle w:val="184"/>
        <w:numPr>
          <w:ilvl w:val="0"/>
          <w:numId w:val="12"/>
        </w:numPr>
        <w:spacing w:before="0" w:line="360" w:lineRule="auto"/>
        <w:rPr>
          <w:rFonts w:ascii="Times New Roman" w:hAnsi="Times New Roman" w:eastAsia="宋体"/>
          <w:sz w:val="24"/>
          <w:szCs w:val="24"/>
        </w:rPr>
      </w:pPr>
      <w:r>
        <w:rPr>
          <w:rFonts w:ascii="Times New Roman" w:hAnsi="Times New Roman" w:eastAsia="宋体"/>
          <w:sz w:val="24"/>
          <w:szCs w:val="24"/>
        </w:rPr>
        <w:br w:type="page" w:clear="all"/>
      </w:r>
      <w:r>
        <w:rPr>
          <w:rFonts w:ascii="Times New Roman" w:hAnsi="Times New Roman" w:eastAsia="宋体"/>
          <w:sz w:val="24"/>
          <w:szCs w:val="24"/>
        </w:rPr>
        <w:t>评</w:t>
      </w:r>
      <w:r>
        <w:rPr>
          <w:rFonts w:hint="eastAsia" w:ascii="Times New Roman" w:hAnsi="Times New Roman" w:eastAsia="宋体"/>
          <w:sz w:val="24"/>
          <w:szCs w:val="24"/>
        </w:rPr>
        <w:t>审</w:t>
      </w:r>
      <w:r>
        <w:rPr>
          <w:rFonts w:ascii="Times New Roman" w:hAnsi="Times New Roman" w:eastAsia="宋体"/>
          <w:sz w:val="24"/>
          <w:szCs w:val="24"/>
        </w:rPr>
        <w:t>标准</w:t>
      </w:r>
    </w:p>
    <w:tbl>
      <w:tblPr>
        <w:tblStyle w:val="29"/>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462"/>
        <w:gridCol w:w="913"/>
        <w:gridCol w:w="3978"/>
        <w:gridCol w:w="2440"/>
      </w:tblGrid>
      <w:tr w14:paraId="47C31B2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58369303">
            <w:pPr>
              <w:ind w:firstLine="28"/>
              <w:jc w:val="center"/>
              <w:rPr>
                <w:b/>
                <w:sz w:val="24"/>
              </w:rPr>
            </w:pPr>
            <w:r>
              <w:rPr>
                <w:b/>
                <w:sz w:val="24"/>
              </w:rPr>
              <w:t>序号</w:t>
            </w:r>
          </w:p>
        </w:tc>
        <w:tc>
          <w:tcPr>
            <w:tcW w:w="1462" w:type="dxa"/>
            <w:noWrap w:val="0"/>
            <w:vAlign w:val="center"/>
          </w:tcPr>
          <w:p w14:paraId="42756F3C">
            <w:pPr>
              <w:ind w:firstLine="28"/>
              <w:jc w:val="center"/>
              <w:rPr>
                <w:b/>
                <w:sz w:val="24"/>
              </w:rPr>
            </w:pPr>
            <w:r>
              <w:rPr>
                <w:b/>
                <w:sz w:val="24"/>
              </w:rPr>
              <w:t>评分因素</w:t>
            </w:r>
          </w:p>
        </w:tc>
        <w:tc>
          <w:tcPr>
            <w:tcW w:w="913" w:type="dxa"/>
            <w:noWrap w:val="0"/>
            <w:vAlign w:val="center"/>
          </w:tcPr>
          <w:p w14:paraId="0B1A30CC">
            <w:pPr>
              <w:ind w:firstLine="28"/>
              <w:jc w:val="center"/>
              <w:rPr>
                <w:b/>
                <w:sz w:val="24"/>
              </w:rPr>
            </w:pPr>
            <w:r>
              <w:rPr>
                <w:b/>
                <w:sz w:val="24"/>
              </w:rPr>
              <w:t>分值</w:t>
            </w:r>
          </w:p>
        </w:tc>
        <w:tc>
          <w:tcPr>
            <w:tcW w:w="3978" w:type="dxa"/>
            <w:noWrap w:val="0"/>
            <w:vAlign w:val="center"/>
          </w:tcPr>
          <w:p w14:paraId="645F4621">
            <w:pPr>
              <w:ind w:firstLine="28"/>
              <w:jc w:val="center"/>
              <w:rPr>
                <w:b/>
                <w:sz w:val="24"/>
              </w:rPr>
            </w:pPr>
            <w:r>
              <w:rPr>
                <w:b/>
                <w:sz w:val="24"/>
              </w:rPr>
              <w:t>评分标准</w:t>
            </w:r>
          </w:p>
        </w:tc>
        <w:tc>
          <w:tcPr>
            <w:tcW w:w="2440" w:type="dxa"/>
            <w:noWrap w:val="0"/>
            <w:vAlign w:val="center"/>
          </w:tcPr>
          <w:p w14:paraId="6E6F6827">
            <w:pPr>
              <w:pStyle w:val="427"/>
              <w:spacing w:before="0" w:after="0" w:line="240" w:lineRule="auto"/>
              <w:rPr>
                <w:rFonts w:eastAsia="宋体"/>
                <w:szCs w:val="24"/>
              </w:rPr>
            </w:pPr>
            <w:r>
              <w:rPr>
                <w:rFonts w:eastAsia="宋体"/>
                <w:szCs w:val="24"/>
              </w:rPr>
              <w:t>说明</w:t>
            </w:r>
          </w:p>
        </w:tc>
      </w:tr>
      <w:tr w14:paraId="2CBFEA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trPr>
        <w:tc>
          <w:tcPr>
            <w:tcW w:w="835" w:type="dxa"/>
            <w:noWrap w:val="0"/>
            <w:vAlign w:val="center"/>
          </w:tcPr>
          <w:p w14:paraId="35493107">
            <w:pPr>
              <w:ind w:firstLine="28"/>
              <w:jc w:val="center"/>
              <w:rPr>
                <w:b/>
                <w:sz w:val="24"/>
              </w:rPr>
            </w:pPr>
            <w:r>
              <w:rPr>
                <w:rFonts w:hint="eastAsia"/>
                <w:b/>
                <w:sz w:val="24"/>
              </w:rPr>
              <w:t>1</w:t>
            </w:r>
          </w:p>
        </w:tc>
        <w:tc>
          <w:tcPr>
            <w:tcW w:w="1462" w:type="dxa"/>
            <w:noWrap w:val="0"/>
            <w:vAlign w:val="center"/>
          </w:tcPr>
          <w:p w14:paraId="7F34EA72">
            <w:pPr>
              <w:ind w:firstLine="28"/>
              <w:jc w:val="center"/>
              <w:rPr>
                <w:sz w:val="24"/>
              </w:rPr>
            </w:pPr>
            <w:r>
              <w:rPr>
                <w:rFonts w:hint="eastAsia"/>
                <w:sz w:val="24"/>
              </w:rPr>
              <w:t>价格分</w:t>
            </w:r>
          </w:p>
        </w:tc>
        <w:tc>
          <w:tcPr>
            <w:tcW w:w="913" w:type="dxa"/>
            <w:noWrap w:val="0"/>
            <w:vAlign w:val="center"/>
          </w:tcPr>
          <w:p w14:paraId="27AA8587">
            <w:pPr>
              <w:ind w:firstLine="28"/>
              <w:jc w:val="center"/>
              <w:rPr>
                <w:sz w:val="24"/>
              </w:rPr>
            </w:pPr>
            <w:r>
              <w:rPr>
                <w:rFonts w:hint="eastAsia"/>
                <w:sz w:val="24"/>
              </w:rPr>
              <w:t>10</w:t>
            </w:r>
          </w:p>
        </w:tc>
        <w:tc>
          <w:tcPr>
            <w:tcW w:w="3978" w:type="dxa"/>
            <w:noWrap w:val="0"/>
            <w:vAlign w:val="center"/>
          </w:tcPr>
          <w:p w14:paraId="53412D09">
            <w:pPr>
              <w:rPr>
                <w:sz w:val="24"/>
              </w:rPr>
            </w:pPr>
            <w:r>
              <w:rPr>
                <w:sz w:val="24"/>
              </w:rPr>
              <w:t>满足磋商文件要求且</w:t>
            </w:r>
            <w:r>
              <w:rPr>
                <w:rFonts w:hint="eastAsia"/>
                <w:sz w:val="24"/>
              </w:rPr>
              <w:t>最终报价</w:t>
            </w:r>
            <w:r>
              <w:rPr>
                <w:sz w:val="24"/>
              </w:rPr>
              <w:t>最低的报价为评标基准价，其价格分为满分。其他供应商的价格分统一按照下列公式计算：</w:t>
            </w:r>
          </w:p>
          <w:p w14:paraId="5E02F4E1">
            <w:pPr>
              <w:rPr>
                <w:sz w:val="24"/>
              </w:rPr>
            </w:pPr>
            <w:r>
              <w:rPr>
                <w:rFonts w:hint="eastAsia"/>
                <w:sz w:val="24"/>
              </w:rPr>
              <w:t>价格分</w:t>
            </w:r>
            <w:r>
              <w:rPr>
                <w:sz w:val="24"/>
              </w:rPr>
              <w:t>得分＝（评标基准价/</w:t>
            </w:r>
            <w:r>
              <w:rPr>
                <w:rFonts w:hint="eastAsia"/>
                <w:sz w:val="24"/>
              </w:rPr>
              <w:t>最终报价</w:t>
            </w:r>
            <w:r>
              <w:rPr>
                <w:sz w:val="24"/>
              </w:rPr>
              <w:t>）×分值。</w:t>
            </w:r>
          </w:p>
        </w:tc>
        <w:tc>
          <w:tcPr>
            <w:tcW w:w="2440" w:type="dxa"/>
            <w:noWrap w:val="0"/>
            <w:vAlign w:val="center"/>
          </w:tcPr>
          <w:p w14:paraId="4B75259F">
            <w:pPr>
              <w:ind w:left="-38"/>
              <w:rPr>
                <w:sz w:val="24"/>
              </w:rPr>
            </w:pPr>
            <w:r>
              <w:rPr>
                <w:rFonts w:hint="eastAsia"/>
                <w:sz w:val="24"/>
              </w:rPr>
              <w:t>此处最终报价指经过报价修正，及</w:t>
            </w:r>
            <w:r>
              <w:rPr>
                <w:sz w:val="24"/>
              </w:rPr>
              <w:t>因落实政府采购政策进行价格调整</w:t>
            </w:r>
            <w:r>
              <w:rPr>
                <w:rFonts w:hint="eastAsia"/>
                <w:sz w:val="24"/>
              </w:rPr>
              <w:t>后</w:t>
            </w:r>
            <w:r>
              <w:rPr>
                <w:sz w:val="24"/>
              </w:rPr>
              <w:t>的</w:t>
            </w:r>
            <w:r>
              <w:rPr>
                <w:rFonts w:hint="eastAsia"/>
                <w:sz w:val="24"/>
              </w:rPr>
              <w:t>最终报价</w:t>
            </w:r>
            <w:r>
              <w:rPr>
                <w:sz w:val="24"/>
              </w:rPr>
              <w:t>，详见第四章《评标方法和评标标准》</w:t>
            </w:r>
            <w:r>
              <w:rPr>
                <w:rFonts w:hint="eastAsia"/>
                <w:sz w:val="24"/>
              </w:rPr>
              <w:t>3</w:t>
            </w:r>
            <w:r>
              <w:rPr>
                <w:sz w:val="24"/>
              </w:rPr>
              <w:t>。</w:t>
            </w:r>
          </w:p>
        </w:tc>
      </w:tr>
      <w:tr w14:paraId="75F579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4A97F40C">
            <w:pPr>
              <w:ind w:firstLine="28"/>
              <w:jc w:val="center"/>
              <w:rPr>
                <w:sz w:val="24"/>
              </w:rPr>
            </w:pPr>
            <w:r>
              <w:rPr>
                <w:rFonts w:hint="eastAsia"/>
                <w:sz w:val="24"/>
              </w:rPr>
              <w:t>2</w:t>
            </w:r>
          </w:p>
        </w:tc>
        <w:tc>
          <w:tcPr>
            <w:tcW w:w="1462" w:type="dxa"/>
            <w:noWrap w:val="0"/>
            <w:vAlign w:val="center"/>
          </w:tcPr>
          <w:p w14:paraId="557AC263">
            <w:pPr>
              <w:ind w:firstLine="28"/>
              <w:jc w:val="center"/>
              <w:rPr>
                <w:sz w:val="24"/>
              </w:rPr>
            </w:pPr>
            <w:r>
              <w:rPr>
                <w:rFonts w:hint="eastAsia"/>
                <w:sz w:val="24"/>
              </w:rPr>
              <w:t>主观分</w:t>
            </w:r>
          </w:p>
        </w:tc>
        <w:tc>
          <w:tcPr>
            <w:tcW w:w="913" w:type="dxa"/>
            <w:noWrap w:val="0"/>
            <w:vAlign w:val="center"/>
          </w:tcPr>
          <w:p w14:paraId="71DD457D">
            <w:pPr>
              <w:ind w:firstLine="28"/>
              <w:jc w:val="center"/>
              <w:rPr>
                <w:rFonts w:hint="default" w:eastAsia="宋体"/>
                <w:sz w:val="24"/>
                <w:lang w:val="en-US" w:eastAsia="zh-CN"/>
              </w:rPr>
            </w:pPr>
            <w:r>
              <w:rPr>
                <w:rFonts w:hint="eastAsia"/>
                <w:sz w:val="24"/>
                <w:lang w:val="en-US" w:eastAsia="zh-CN"/>
              </w:rPr>
              <w:t>75</w:t>
            </w:r>
          </w:p>
        </w:tc>
        <w:tc>
          <w:tcPr>
            <w:tcW w:w="3978" w:type="dxa"/>
            <w:noWrap w:val="0"/>
            <w:vAlign w:val="center"/>
          </w:tcPr>
          <w:p w14:paraId="1A085F01">
            <w:pPr>
              <w:rPr>
                <w:sz w:val="24"/>
              </w:rPr>
            </w:pPr>
          </w:p>
        </w:tc>
        <w:tc>
          <w:tcPr>
            <w:tcW w:w="2440" w:type="dxa"/>
            <w:noWrap w:val="0"/>
            <w:vAlign w:val="center"/>
          </w:tcPr>
          <w:p w14:paraId="1247711B">
            <w:pPr>
              <w:ind w:left="-38"/>
              <w:rPr>
                <w:sz w:val="24"/>
              </w:rPr>
            </w:pPr>
          </w:p>
        </w:tc>
      </w:tr>
      <w:tr w14:paraId="3BCC68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680C85A4">
            <w:pPr>
              <w:ind w:firstLine="28"/>
              <w:jc w:val="center"/>
              <w:rPr>
                <w:sz w:val="24"/>
              </w:rPr>
            </w:pPr>
            <w:r>
              <w:rPr>
                <w:rFonts w:hint="eastAsia"/>
                <w:sz w:val="24"/>
              </w:rPr>
              <w:t>2.1</w:t>
            </w:r>
          </w:p>
        </w:tc>
        <w:tc>
          <w:tcPr>
            <w:tcW w:w="1462" w:type="dxa"/>
            <w:noWrap w:val="0"/>
            <w:vAlign w:val="center"/>
          </w:tcPr>
          <w:p w14:paraId="2BD21682">
            <w:pPr>
              <w:widowControl/>
              <w:spacing w:line="360" w:lineRule="auto"/>
              <w:rPr>
                <w:rFonts w:hint="eastAsia" w:cs="宋体"/>
                <w:sz w:val="24"/>
              </w:rPr>
            </w:pPr>
            <w:r>
              <w:rPr>
                <w:rFonts w:hint="eastAsia" w:cs="宋体"/>
                <w:sz w:val="24"/>
              </w:rPr>
              <w:t>项目理解</w:t>
            </w:r>
          </w:p>
        </w:tc>
        <w:tc>
          <w:tcPr>
            <w:tcW w:w="913" w:type="dxa"/>
            <w:noWrap w:val="0"/>
            <w:vAlign w:val="center"/>
          </w:tcPr>
          <w:p w14:paraId="3EC74983">
            <w:pPr>
              <w:widowControl/>
              <w:spacing w:line="360" w:lineRule="auto"/>
              <w:jc w:val="center"/>
              <w:rPr>
                <w:rFonts w:hint="eastAsia" w:eastAsia="宋体" w:cs="宋体"/>
                <w:sz w:val="24"/>
                <w:lang w:eastAsia="zh-CN"/>
              </w:rPr>
            </w:pPr>
            <w:r>
              <w:rPr>
                <w:rFonts w:hint="eastAsia" w:cs="宋体"/>
                <w:sz w:val="24"/>
              </w:rPr>
              <w:t>1</w:t>
            </w:r>
            <w:r>
              <w:rPr>
                <w:rFonts w:hint="eastAsia" w:cs="宋体"/>
                <w:sz w:val="24"/>
                <w:lang w:val="en-US" w:eastAsia="zh-CN"/>
              </w:rPr>
              <w:t>0</w:t>
            </w:r>
          </w:p>
        </w:tc>
        <w:tc>
          <w:tcPr>
            <w:tcW w:w="3978" w:type="dxa"/>
            <w:noWrap w:val="0"/>
            <w:vAlign w:val="center"/>
          </w:tcPr>
          <w:p w14:paraId="3839B7D0">
            <w:pPr>
              <w:pStyle w:val="437"/>
              <w:spacing w:before="37" w:line="233" w:lineRule="auto"/>
              <w:ind w:left="114" w:right="40" w:firstLine="16"/>
            </w:pPr>
            <w:r>
              <w:rPr>
                <w:spacing w:val="-2"/>
              </w:rPr>
              <w:t>1、对本项目的背景、采购目的、服务需求、最终成果要求能有透彻的了解，总体</w:t>
            </w:r>
            <w:r>
              <w:t xml:space="preserve"> </w:t>
            </w:r>
            <w:r>
              <w:rPr>
                <w:spacing w:val="-3"/>
              </w:rPr>
              <w:t>工作思路、技术路线清晰，提出具有针对性的措施，能完全满足本次采购</w:t>
            </w:r>
            <w:r>
              <w:rPr>
                <w:spacing w:val="-4"/>
              </w:rPr>
              <w:t>要求的，</w:t>
            </w:r>
            <w:r>
              <w:t xml:space="preserve"> </w:t>
            </w:r>
            <w:r>
              <w:rPr>
                <w:spacing w:val="-10"/>
              </w:rPr>
              <w:t>得</w:t>
            </w:r>
            <w:r>
              <w:rPr>
                <w:spacing w:val="-33"/>
              </w:rPr>
              <w:t xml:space="preserve"> </w:t>
            </w:r>
            <w:r>
              <w:rPr>
                <w:spacing w:val="-10"/>
              </w:rPr>
              <w:t>10</w:t>
            </w:r>
            <w:r>
              <w:rPr>
                <w:spacing w:val="-48"/>
              </w:rPr>
              <w:t xml:space="preserve"> </w:t>
            </w:r>
            <w:r>
              <w:rPr>
                <w:spacing w:val="-10"/>
              </w:rPr>
              <w:t>分；</w:t>
            </w:r>
          </w:p>
          <w:p w14:paraId="208A879E">
            <w:pPr>
              <w:pStyle w:val="437"/>
              <w:spacing w:before="22" w:line="230" w:lineRule="auto"/>
              <w:ind w:left="118" w:right="104" w:hanging="2"/>
            </w:pPr>
            <w:r>
              <w:rPr>
                <w:spacing w:val="-2"/>
              </w:rPr>
              <w:t>2、对本项目的背景、采购目的、服务需求、最终成果要求了解，有总体工作思路</w:t>
            </w:r>
            <w:r>
              <w:rPr>
                <w:spacing w:val="15"/>
              </w:rPr>
              <w:t xml:space="preserve"> </w:t>
            </w:r>
            <w:r>
              <w:rPr>
                <w:spacing w:val="-2"/>
              </w:rPr>
              <w:t>并提出相应措施，能满足本次采购要求的，得</w:t>
            </w:r>
            <w:r>
              <w:rPr>
                <w:spacing w:val="-43"/>
              </w:rPr>
              <w:t xml:space="preserve"> </w:t>
            </w:r>
            <w:r>
              <w:rPr>
                <w:rFonts w:hint="eastAsia"/>
                <w:spacing w:val="-43"/>
                <w:lang w:val="en-US" w:eastAsia="zh-CN"/>
              </w:rPr>
              <w:t>6</w:t>
            </w:r>
            <w:r>
              <w:rPr>
                <w:spacing w:val="-2"/>
              </w:rPr>
              <w:t>分；</w:t>
            </w:r>
          </w:p>
          <w:p w14:paraId="6FA05131">
            <w:pPr>
              <w:pStyle w:val="437"/>
              <w:spacing w:before="26" w:line="229" w:lineRule="auto"/>
              <w:ind w:left="118" w:right="104"/>
            </w:pPr>
            <w:r>
              <w:rPr>
                <w:spacing w:val="-2"/>
              </w:rPr>
              <w:t>3、对本项目的背景、采购目的、服务需求解读与理解程度一般，有总体工作思路</w:t>
            </w:r>
            <w:r>
              <w:rPr>
                <w:spacing w:val="13"/>
              </w:rPr>
              <w:t xml:space="preserve"> </w:t>
            </w:r>
            <w:r>
              <w:rPr>
                <w:spacing w:val="-2"/>
              </w:rPr>
              <w:t>并提出较少措施，基本能满足本次采购要求的，得</w:t>
            </w:r>
            <w:r>
              <w:rPr>
                <w:spacing w:val="-39"/>
              </w:rPr>
              <w:t xml:space="preserve"> </w:t>
            </w:r>
            <w:r>
              <w:rPr>
                <w:spacing w:val="-2"/>
              </w:rPr>
              <w:t>4</w:t>
            </w:r>
            <w:r>
              <w:rPr>
                <w:spacing w:val="-48"/>
              </w:rPr>
              <w:t xml:space="preserve"> </w:t>
            </w:r>
            <w:r>
              <w:rPr>
                <w:spacing w:val="-2"/>
              </w:rPr>
              <w:t>分；</w:t>
            </w:r>
          </w:p>
          <w:p w14:paraId="6AF5D1B1">
            <w:pPr>
              <w:pStyle w:val="437"/>
              <w:spacing w:before="26" w:line="230" w:lineRule="auto"/>
              <w:ind w:left="112" w:right="104"/>
              <w:rPr>
                <w:spacing w:val="-5"/>
              </w:rPr>
            </w:pPr>
            <w:r>
              <w:rPr>
                <w:spacing w:val="-1"/>
              </w:rPr>
              <w:t>4、对本项目的采购要求了解但理解不具体</w:t>
            </w:r>
            <w:r>
              <w:rPr>
                <w:spacing w:val="-2"/>
              </w:rPr>
              <w:t>、不全面，有工作思路但没有提出相应</w:t>
            </w:r>
            <w:r>
              <w:t xml:space="preserve"> </w:t>
            </w:r>
            <w:r>
              <w:rPr>
                <w:spacing w:val="-5"/>
              </w:rPr>
              <w:t>措施的，得</w:t>
            </w:r>
            <w:r>
              <w:rPr>
                <w:spacing w:val="-43"/>
              </w:rPr>
              <w:t xml:space="preserve"> </w:t>
            </w:r>
            <w:r>
              <w:rPr>
                <w:spacing w:val="-5"/>
              </w:rPr>
              <w:t>2</w:t>
            </w:r>
            <w:r>
              <w:rPr>
                <w:spacing w:val="-48"/>
              </w:rPr>
              <w:t xml:space="preserve"> </w:t>
            </w:r>
            <w:r>
              <w:rPr>
                <w:spacing w:val="-5"/>
              </w:rPr>
              <w:t>分。</w:t>
            </w:r>
          </w:p>
          <w:p w14:paraId="4C77EB81">
            <w:pPr>
              <w:pStyle w:val="437"/>
              <w:spacing w:before="26" w:line="230" w:lineRule="auto"/>
              <w:ind w:left="112" w:right="104"/>
              <w:rPr>
                <w:rFonts w:hint="eastAsia" w:cs="宋体"/>
                <w:sz w:val="24"/>
              </w:rPr>
            </w:pPr>
            <w:r>
              <w:rPr>
                <w:spacing w:val="-2"/>
              </w:rPr>
              <w:t>5、未提供不得分。</w:t>
            </w:r>
          </w:p>
        </w:tc>
        <w:tc>
          <w:tcPr>
            <w:tcW w:w="2440" w:type="dxa"/>
            <w:noWrap w:val="0"/>
            <w:vAlign w:val="center"/>
          </w:tcPr>
          <w:p w14:paraId="370A56DE">
            <w:pPr>
              <w:ind w:left="-38"/>
              <w:rPr>
                <w:sz w:val="24"/>
              </w:rPr>
            </w:pPr>
          </w:p>
        </w:tc>
      </w:tr>
      <w:tr w14:paraId="0158B7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6FB1A741">
            <w:pPr>
              <w:ind w:firstLine="28"/>
              <w:jc w:val="center"/>
              <w:rPr>
                <w:sz w:val="24"/>
              </w:rPr>
            </w:pPr>
            <w:r>
              <w:rPr>
                <w:rFonts w:hint="eastAsia"/>
                <w:sz w:val="24"/>
              </w:rPr>
              <w:t>2.2</w:t>
            </w:r>
          </w:p>
        </w:tc>
        <w:tc>
          <w:tcPr>
            <w:tcW w:w="1462" w:type="dxa"/>
            <w:noWrap w:val="0"/>
            <w:vAlign w:val="center"/>
          </w:tcPr>
          <w:p w14:paraId="04507F7B">
            <w:pPr>
              <w:widowControl/>
              <w:spacing w:line="360" w:lineRule="auto"/>
              <w:rPr>
                <w:rFonts w:hint="eastAsia" w:cs="宋体"/>
                <w:sz w:val="24"/>
              </w:rPr>
            </w:pPr>
            <w:r>
              <w:rPr>
                <w:rFonts w:hint="eastAsia" w:cs="宋体"/>
                <w:sz w:val="24"/>
              </w:rPr>
              <w:t>内部管理制 度</w:t>
            </w:r>
          </w:p>
        </w:tc>
        <w:tc>
          <w:tcPr>
            <w:tcW w:w="913" w:type="dxa"/>
            <w:noWrap w:val="0"/>
            <w:vAlign w:val="center"/>
          </w:tcPr>
          <w:p w14:paraId="12C3EABE">
            <w:pPr>
              <w:widowControl/>
              <w:spacing w:line="360" w:lineRule="auto"/>
              <w:jc w:val="center"/>
              <w:rPr>
                <w:rFonts w:eastAsia="宋体" w:cs="宋体"/>
                <w:sz w:val="24"/>
                <w:lang w:val="en-US" w:eastAsia="zh-CN"/>
              </w:rPr>
            </w:pPr>
            <w:r>
              <w:rPr>
                <w:rFonts w:hint="eastAsia" w:cs="宋体"/>
                <w:sz w:val="24"/>
                <w:lang w:val="en-US" w:eastAsia="zh-CN"/>
              </w:rPr>
              <w:t>10</w:t>
            </w:r>
          </w:p>
        </w:tc>
        <w:tc>
          <w:tcPr>
            <w:tcW w:w="3978" w:type="dxa"/>
            <w:noWrap w:val="0"/>
            <w:vAlign w:val="center"/>
          </w:tcPr>
          <w:p w14:paraId="50FB2B60">
            <w:pPr>
              <w:pStyle w:val="437"/>
              <w:spacing w:before="40" w:line="229" w:lineRule="auto"/>
              <w:ind w:left="113" w:right="23"/>
            </w:pPr>
            <w:r>
              <w:rPr>
                <w:spacing w:val="-3"/>
              </w:rPr>
              <w:t>包括且不限于组织架构、项目内部养护检查考核制度、自查自纠制度、奖惩措施、</w:t>
            </w:r>
            <w:r>
              <w:rPr>
                <w:spacing w:val="14"/>
              </w:rPr>
              <w:t xml:space="preserve"> </w:t>
            </w:r>
            <w:r>
              <w:rPr>
                <w:spacing w:val="-1"/>
              </w:rPr>
              <w:t>养护管理制度、安全文明措施及各项应急预案等进行评比：</w:t>
            </w:r>
          </w:p>
          <w:p w14:paraId="275E92A9">
            <w:pPr>
              <w:pStyle w:val="437"/>
              <w:spacing w:before="26" w:line="229" w:lineRule="auto"/>
              <w:ind w:left="118" w:right="44" w:firstLine="12"/>
            </w:pPr>
            <w:r>
              <w:rPr>
                <w:spacing w:val="-2"/>
              </w:rPr>
              <w:t>1、组织架构、项目内部养护检查考核制度、自查自纠制度、奖惩措施、养护档案</w:t>
            </w:r>
            <w:r>
              <w:t xml:space="preserve"> </w:t>
            </w:r>
            <w:r>
              <w:rPr>
                <w:spacing w:val="-8"/>
              </w:rPr>
              <w:t>管理制度、安全文明措施及各项应急预案方案完整、规范、合理、全面的得</w:t>
            </w:r>
            <w:r>
              <w:rPr>
                <w:spacing w:val="-15"/>
              </w:rPr>
              <w:t xml:space="preserve"> </w:t>
            </w:r>
            <w:r>
              <w:rPr>
                <w:spacing w:val="-8"/>
              </w:rPr>
              <w:t>10</w:t>
            </w:r>
            <w:r>
              <w:rPr>
                <w:spacing w:val="-48"/>
              </w:rPr>
              <w:t xml:space="preserve"> </w:t>
            </w:r>
            <w:r>
              <w:rPr>
                <w:spacing w:val="-8"/>
              </w:rPr>
              <w:t>分；</w:t>
            </w:r>
          </w:p>
          <w:p w14:paraId="35973D1D">
            <w:pPr>
              <w:pStyle w:val="437"/>
              <w:spacing w:before="26" w:line="220" w:lineRule="auto"/>
              <w:ind w:left="116"/>
            </w:pPr>
            <w:r>
              <w:rPr>
                <w:spacing w:val="-2"/>
              </w:rPr>
              <w:t>2、方案制度较完整、规范、合理、全面的得</w:t>
            </w:r>
            <w:r>
              <w:rPr>
                <w:spacing w:val="-40"/>
              </w:rPr>
              <w:t xml:space="preserve"> </w:t>
            </w:r>
            <w:r>
              <w:rPr>
                <w:spacing w:val="-2"/>
              </w:rPr>
              <w:t>6</w:t>
            </w:r>
            <w:r>
              <w:rPr>
                <w:spacing w:val="-48"/>
              </w:rPr>
              <w:t xml:space="preserve"> </w:t>
            </w:r>
            <w:r>
              <w:rPr>
                <w:spacing w:val="-2"/>
              </w:rPr>
              <w:t>分；</w:t>
            </w:r>
          </w:p>
          <w:p w14:paraId="61B1A70D">
            <w:pPr>
              <w:pStyle w:val="437"/>
              <w:spacing w:before="26" w:line="220" w:lineRule="auto"/>
              <w:ind w:left="118"/>
              <w:rPr>
                <w:rFonts w:hint="eastAsia" w:ascii="Times New Roman" w:hAnsi="Times New Roman" w:cs="宋体"/>
                <w:color w:val="000000"/>
                <w:lang w:bidi="ar"/>
              </w:rPr>
            </w:pPr>
            <w:r>
              <w:rPr>
                <w:spacing w:val="-3"/>
              </w:rPr>
              <w:t>3、方案制度描述不全面的得</w:t>
            </w:r>
            <w:r>
              <w:rPr>
                <w:spacing w:val="-40"/>
              </w:rPr>
              <w:t xml:space="preserve"> </w:t>
            </w:r>
            <w:r>
              <w:rPr>
                <w:spacing w:val="-3"/>
              </w:rPr>
              <w:t>2</w:t>
            </w:r>
            <w:r>
              <w:rPr>
                <w:spacing w:val="-48"/>
              </w:rPr>
              <w:t xml:space="preserve"> </w:t>
            </w:r>
            <w:r>
              <w:rPr>
                <w:spacing w:val="-3"/>
              </w:rPr>
              <w:t>分；</w:t>
            </w:r>
            <w:r>
              <w:rPr>
                <w:spacing w:val="-1"/>
              </w:rPr>
              <w:t>4、未提供的不得分。</w:t>
            </w:r>
          </w:p>
        </w:tc>
        <w:tc>
          <w:tcPr>
            <w:tcW w:w="2440" w:type="dxa"/>
            <w:noWrap w:val="0"/>
            <w:vAlign w:val="center"/>
          </w:tcPr>
          <w:p w14:paraId="5981CD8C">
            <w:pPr>
              <w:ind w:left="-38"/>
              <w:rPr>
                <w:sz w:val="24"/>
              </w:rPr>
            </w:pPr>
          </w:p>
        </w:tc>
      </w:tr>
      <w:tr w14:paraId="144EA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4C6744A1">
            <w:pPr>
              <w:ind w:firstLine="28"/>
              <w:jc w:val="center"/>
              <w:rPr>
                <w:sz w:val="24"/>
              </w:rPr>
            </w:pPr>
            <w:r>
              <w:rPr>
                <w:rFonts w:hint="eastAsia"/>
                <w:sz w:val="24"/>
              </w:rPr>
              <w:t>2.3</w:t>
            </w:r>
          </w:p>
        </w:tc>
        <w:tc>
          <w:tcPr>
            <w:tcW w:w="1462" w:type="dxa"/>
            <w:noWrap w:val="0"/>
            <w:vAlign w:val="center"/>
          </w:tcPr>
          <w:p w14:paraId="31FFC3A3">
            <w:pPr>
              <w:widowControl/>
              <w:spacing w:line="360" w:lineRule="auto"/>
              <w:rPr>
                <w:rFonts w:hint="eastAsia" w:cs="宋体"/>
                <w:sz w:val="24"/>
              </w:rPr>
            </w:pPr>
            <w:r>
              <w:rPr>
                <w:rFonts w:hint="eastAsia" w:cs="宋体"/>
                <w:sz w:val="24"/>
              </w:rPr>
              <w:t>重点难点和</w:t>
            </w:r>
          </w:p>
          <w:p w14:paraId="63434836">
            <w:pPr>
              <w:widowControl/>
              <w:spacing w:line="360" w:lineRule="auto"/>
              <w:rPr>
                <w:rFonts w:hint="eastAsia" w:cs="宋体"/>
                <w:sz w:val="24"/>
              </w:rPr>
            </w:pPr>
            <w:r>
              <w:rPr>
                <w:rFonts w:hint="eastAsia" w:cs="宋体"/>
                <w:sz w:val="24"/>
              </w:rPr>
              <w:t>解决措施方</w:t>
            </w:r>
          </w:p>
          <w:p w14:paraId="5D39D67C">
            <w:pPr>
              <w:widowControl/>
              <w:spacing w:line="360" w:lineRule="auto"/>
              <w:rPr>
                <w:rFonts w:hint="eastAsia" w:cs="宋体"/>
                <w:sz w:val="24"/>
              </w:rPr>
            </w:pPr>
            <w:r>
              <w:rPr>
                <w:rFonts w:hint="eastAsia" w:cs="宋体"/>
                <w:sz w:val="24"/>
              </w:rPr>
              <w:t>案</w:t>
            </w:r>
          </w:p>
        </w:tc>
        <w:tc>
          <w:tcPr>
            <w:tcW w:w="913" w:type="dxa"/>
            <w:noWrap w:val="0"/>
            <w:vAlign w:val="center"/>
          </w:tcPr>
          <w:p w14:paraId="0C6EBE76">
            <w:pPr>
              <w:widowControl/>
              <w:spacing w:line="360" w:lineRule="auto"/>
              <w:jc w:val="center"/>
              <w:rPr>
                <w:rFonts w:eastAsia="宋体" w:cs="宋体"/>
                <w:sz w:val="24"/>
                <w:lang w:val="en-US" w:eastAsia="zh-CN"/>
              </w:rPr>
            </w:pPr>
            <w:r>
              <w:rPr>
                <w:rFonts w:hint="eastAsia" w:cs="宋体"/>
                <w:sz w:val="24"/>
                <w:lang w:val="en-US" w:eastAsia="zh-CN"/>
              </w:rPr>
              <w:t>10</w:t>
            </w:r>
          </w:p>
        </w:tc>
        <w:tc>
          <w:tcPr>
            <w:tcW w:w="3978" w:type="dxa"/>
            <w:noWrap w:val="0"/>
            <w:vAlign w:val="center"/>
          </w:tcPr>
          <w:p w14:paraId="10D2E3BB">
            <w:pPr>
              <w:pStyle w:val="437"/>
              <w:spacing w:before="37" w:line="219" w:lineRule="auto"/>
              <w:ind w:left="131"/>
            </w:pPr>
            <w:r>
              <w:rPr>
                <w:spacing w:val="-1"/>
              </w:rPr>
              <w:t>1、重点难点和解决措施方案概述详细，方案考虑周全的，得10分；</w:t>
            </w:r>
          </w:p>
          <w:p w14:paraId="3DB9AFC5">
            <w:pPr>
              <w:pStyle w:val="437"/>
              <w:spacing w:before="27" w:line="229" w:lineRule="auto"/>
              <w:ind w:left="124" w:right="104" w:hanging="8"/>
            </w:pPr>
            <w:r>
              <w:rPr>
                <w:spacing w:val="-2"/>
              </w:rPr>
              <w:t>2、重点难点和解决措施方案概述较为详细，方案考虑比较细致，能满足项目实施</w:t>
            </w:r>
            <w:r>
              <w:rPr>
                <w:spacing w:val="15"/>
              </w:rPr>
              <w:t xml:space="preserve"> </w:t>
            </w:r>
            <w:r>
              <w:rPr>
                <w:spacing w:val="-3"/>
              </w:rPr>
              <w:t>需要的得6分；</w:t>
            </w:r>
          </w:p>
          <w:p w14:paraId="2CF77CDE">
            <w:pPr>
              <w:pStyle w:val="437"/>
              <w:spacing w:before="26" w:line="219" w:lineRule="auto"/>
              <w:ind w:left="118"/>
              <w:rPr>
                <w:spacing w:val="-1"/>
              </w:rPr>
            </w:pPr>
            <w:r>
              <w:rPr>
                <w:spacing w:val="-1"/>
              </w:rPr>
              <w:t>3、重点难点和解决措施方案措施简单，基本能满足项目实施需要的得2分；</w:t>
            </w:r>
          </w:p>
          <w:p w14:paraId="27FA4522">
            <w:pPr>
              <w:pStyle w:val="437"/>
              <w:spacing w:before="26" w:line="219" w:lineRule="auto"/>
              <w:ind w:left="118"/>
              <w:rPr>
                <w:rFonts w:hint="eastAsia" w:ascii="Times New Roman" w:hAnsi="Times New Roman" w:cs="宋体"/>
                <w:color w:val="000000"/>
                <w:lang w:bidi="ar"/>
              </w:rPr>
            </w:pPr>
            <w:r>
              <w:rPr>
                <w:spacing w:val="-1"/>
              </w:rPr>
              <w:t>4、未提供的不得分。</w:t>
            </w:r>
          </w:p>
        </w:tc>
        <w:tc>
          <w:tcPr>
            <w:tcW w:w="2440" w:type="dxa"/>
            <w:noWrap w:val="0"/>
            <w:vAlign w:val="center"/>
          </w:tcPr>
          <w:p w14:paraId="5F4C6E6C">
            <w:pPr>
              <w:ind w:left="-38"/>
              <w:rPr>
                <w:sz w:val="24"/>
              </w:rPr>
            </w:pPr>
          </w:p>
        </w:tc>
      </w:tr>
      <w:tr w14:paraId="48F82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460AC40C">
            <w:pPr>
              <w:ind w:firstLine="28"/>
              <w:jc w:val="center"/>
              <w:rPr>
                <w:sz w:val="24"/>
              </w:rPr>
            </w:pPr>
            <w:r>
              <w:rPr>
                <w:rFonts w:hint="eastAsia"/>
                <w:sz w:val="24"/>
              </w:rPr>
              <w:t>2.4</w:t>
            </w:r>
          </w:p>
        </w:tc>
        <w:tc>
          <w:tcPr>
            <w:tcW w:w="1462" w:type="dxa"/>
            <w:noWrap w:val="0"/>
            <w:vAlign w:val="center"/>
          </w:tcPr>
          <w:p w14:paraId="35E58FFE">
            <w:pPr>
              <w:widowControl/>
              <w:spacing w:line="360" w:lineRule="auto"/>
              <w:rPr>
                <w:rFonts w:hint="eastAsia" w:cs="宋体"/>
                <w:sz w:val="24"/>
              </w:rPr>
            </w:pPr>
            <w:r>
              <w:rPr>
                <w:rFonts w:hint="eastAsia" w:cs="宋体"/>
                <w:sz w:val="24"/>
              </w:rPr>
              <w:t>劳动力投入 方案</w:t>
            </w:r>
          </w:p>
        </w:tc>
        <w:tc>
          <w:tcPr>
            <w:tcW w:w="913" w:type="dxa"/>
            <w:noWrap w:val="0"/>
            <w:vAlign w:val="center"/>
          </w:tcPr>
          <w:p w14:paraId="7F74BCF9">
            <w:pPr>
              <w:widowControl/>
              <w:spacing w:line="360" w:lineRule="auto"/>
              <w:jc w:val="center"/>
              <w:rPr>
                <w:rFonts w:hint="default" w:eastAsia="宋体" w:cs="宋体"/>
                <w:sz w:val="24"/>
                <w:lang w:val="en-US" w:eastAsia="zh-CN"/>
              </w:rPr>
            </w:pPr>
            <w:r>
              <w:rPr>
                <w:rFonts w:hint="eastAsia" w:cs="宋体"/>
                <w:sz w:val="24"/>
                <w:lang w:val="en-US" w:eastAsia="zh-CN"/>
              </w:rPr>
              <w:t>10</w:t>
            </w:r>
          </w:p>
        </w:tc>
        <w:tc>
          <w:tcPr>
            <w:tcW w:w="3978" w:type="dxa"/>
            <w:noWrap w:val="0"/>
            <w:vAlign w:val="center"/>
          </w:tcPr>
          <w:p w14:paraId="5BE1985A">
            <w:pPr>
              <w:pStyle w:val="437"/>
              <w:spacing w:before="38" w:line="229" w:lineRule="auto"/>
              <w:ind w:left="115" w:right="104" w:hanging="2"/>
            </w:pPr>
            <w:r>
              <w:rPr>
                <w:spacing w:val="2"/>
              </w:rPr>
              <w:t>针对本项目的劳动力安排、各工种的日常工作、项目经理管理措施、人</w:t>
            </w:r>
            <w:r>
              <w:rPr>
                <w:spacing w:val="1"/>
              </w:rPr>
              <w:t>员技术培</w:t>
            </w:r>
            <w:r>
              <w:t xml:space="preserve"> </w:t>
            </w:r>
            <w:r>
              <w:rPr>
                <w:spacing w:val="-1"/>
              </w:rPr>
              <w:t>训方案及安全教育等进行评比：</w:t>
            </w:r>
          </w:p>
          <w:p w14:paraId="3C1529E9">
            <w:pPr>
              <w:pStyle w:val="437"/>
              <w:spacing w:before="25" w:line="229" w:lineRule="auto"/>
              <w:ind w:left="113" w:right="104" w:firstLine="17"/>
            </w:pPr>
            <w:r>
              <w:rPr>
                <w:spacing w:val="-2"/>
              </w:rPr>
              <w:t>1、劳动力安排、各工种的日常工作、项目经理管理措施、人员技术培训方案及安</w:t>
            </w:r>
            <w:r>
              <w:t xml:space="preserve"> </w:t>
            </w:r>
            <w:r>
              <w:rPr>
                <w:spacing w:val="-3"/>
              </w:rPr>
              <w:t>全教育方案描述贴近本项目的得</w:t>
            </w:r>
            <w:r>
              <w:rPr>
                <w:spacing w:val="-29"/>
              </w:rPr>
              <w:t xml:space="preserve"> </w:t>
            </w:r>
            <w:r>
              <w:rPr>
                <w:spacing w:val="-3"/>
              </w:rPr>
              <w:t>10</w:t>
            </w:r>
            <w:r>
              <w:rPr>
                <w:spacing w:val="-48"/>
              </w:rPr>
              <w:t xml:space="preserve"> </w:t>
            </w:r>
            <w:r>
              <w:rPr>
                <w:spacing w:val="-3"/>
              </w:rPr>
              <w:t>分；</w:t>
            </w:r>
          </w:p>
          <w:p w14:paraId="3825BFD5">
            <w:pPr>
              <w:pStyle w:val="437"/>
              <w:spacing w:before="26" w:line="220" w:lineRule="auto"/>
              <w:ind w:left="116"/>
            </w:pPr>
            <w:r>
              <w:rPr>
                <w:spacing w:val="-2"/>
              </w:rPr>
              <w:t>2、方案描述的不够清晰明确的得</w:t>
            </w:r>
            <w:r>
              <w:rPr>
                <w:spacing w:val="-49"/>
              </w:rPr>
              <w:t xml:space="preserve"> </w:t>
            </w:r>
            <w:r>
              <w:rPr>
                <w:spacing w:val="-2"/>
              </w:rPr>
              <w:t>6</w:t>
            </w:r>
            <w:r>
              <w:rPr>
                <w:spacing w:val="-48"/>
              </w:rPr>
              <w:t xml:space="preserve"> </w:t>
            </w:r>
            <w:r>
              <w:rPr>
                <w:spacing w:val="-2"/>
              </w:rPr>
              <w:t>分；</w:t>
            </w:r>
          </w:p>
          <w:p w14:paraId="2B98B0F0">
            <w:pPr>
              <w:pStyle w:val="437"/>
              <w:spacing w:before="26" w:line="220" w:lineRule="auto"/>
              <w:ind w:left="118"/>
              <w:rPr>
                <w:spacing w:val="-3"/>
              </w:rPr>
            </w:pPr>
            <w:r>
              <w:rPr>
                <w:spacing w:val="-3"/>
              </w:rPr>
              <w:t>3、方案描述不全的得</w:t>
            </w:r>
            <w:r>
              <w:rPr>
                <w:spacing w:val="-48"/>
              </w:rPr>
              <w:t xml:space="preserve"> </w:t>
            </w:r>
            <w:r>
              <w:rPr>
                <w:spacing w:val="-3"/>
              </w:rPr>
              <w:t>2</w:t>
            </w:r>
            <w:r>
              <w:rPr>
                <w:spacing w:val="-48"/>
              </w:rPr>
              <w:t xml:space="preserve"> </w:t>
            </w:r>
            <w:r>
              <w:rPr>
                <w:spacing w:val="-3"/>
              </w:rPr>
              <w:t>分；</w:t>
            </w:r>
          </w:p>
          <w:p w14:paraId="7339918D">
            <w:pPr>
              <w:pStyle w:val="437"/>
              <w:spacing w:before="26" w:line="220" w:lineRule="auto"/>
              <w:ind w:left="118"/>
              <w:rPr>
                <w:rFonts w:hint="eastAsia" w:ascii="Times New Roman" w:hAnsi="Times New Roman" w:cs="宋体"/>
                <w:lang w:bidi="ar"/>
              </w:rPr>
            </w:pPr>
            <w:r>
              <w:rPr>
                <w:spacing w:val="-1"/>
              </w:rPr>
              <w:t>4、未提供的不得分。</w:t>
            </w:r>
          </w:p>
        </w:tc>
        <w:tc>
          <w:tcPr>
            <w:tcW w:w="2440" w:type="dxa"/>
            <w:noWrap w:val="0"/>
            <w:vAlign w:val="center"/>
          </w:tcPr>
          <w:p w14:paraId="0B2A8479">
            <w:pPr>
              <w:ind w:left="-38"/>
              <w:rPr>
                <w:sz w:val="24"/>
              </w:rPr>
            </w:pPr>
          </w:p>
        </w:tc>
      </w:tr>
      <w:tr w14:paraId="187A9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13FC5A98">
            <w:pPr>
              <w:ind w:firstLine="28"/>
              <w:jc w:val="center"/>
              <w:rPr>
                <w:sz w:val="24"/>
              </w:rPr>
            </w:pPr>
            <w:r>
              <w:rPr>
                <w:rFonts w:hint="eastAsia"/>
                <w:sz w:val="24"/>
              </w:rPr>
              <w:t>2.5</w:t>
            </w:r>
          </w:p>
        </w:tc>
        <w:tc>
          <w:tcPr>
            <w:tcW w:w="1462" w:type="dxa"/>
            <w:noWrap w:val="0"/>
            <w:vAlign w:val="center"/>
          </w:tcPr>
          <w:p w14:paraId="1617F40C">
            <w:pPr>
              <w:widowControl/>
              <w:spacing w:line="360" w:lineRule="auto"/>
              <w:rPr>
                <w:rFonts w:hint="eastAsia" w:cs="宋体"/>
                <w:color w:val="000000"/>
                <w:sz w:val="24"/>
                <w:lang w:bidi="ar"/>
              </w:rPr>
            </w:pPr>
            <w:r>
              <w:rPr>
                <w:rFonts w:hint="eastAsia" w:cs="宋体"/>
                <w:sz w:val="24"/>
              </w:rPr>
              <w:t>进度保证措 施</w:t>
            </w:r>
          </w:p>
        </w:tc>
        <w:tc>
          <w:tcPr>
            <w:tcW w:w="913" w:type="dxa"/>
            <w:noWrap w:val="0"/>
            <w:vAlign w:val="center"/>
          </w:tcPr>
          <w:p w14:paraId="3D307402">
            <w:pPr>
              <w:widowControl/>
              <w:spacing w:line="360" w:lineRule="auto"/>
              <w:jc w:val="center"/>
              <w:rPr>
                <w:rFonts w:hint="default" w:eastAsia="宋体" w:cs="宋体"/>
                <w:sz w:val="24"/>
                <w:lang w:val="en-US" w:eastAsia="zh-CN"/>
              </w:rPr>
            </w:pPr>
            <w:r>
              <w:rPr>
                <w:rFonts w:hint="eastAsia" w:cs="宋体"/>
                <w:sz w:val="24"/>
                <w:lang w:val="en-US" w:eastAsia="zh-CN"/>
              </w:rPr>
              <w:t>10</w:t>
            </w:r>
          </w:p>
        </w:tc>
        <w:tc>
          <w:tcPr>
            <w:tcW w:w="3978" w:type="dxa"/>
            <w:noWrap w:val="0"/>
            <w:vAlign w:val="center"/>
          </w:tcPr>
          <w:p w14:paraId="5297D246">
            <w:pPr>
              <w:pStyle w:val="437"/>
              <w:spacing w:before="39" w:line="229" w:lineRule="auto"/>
              <w:ind w:left="114" w:right="104" w:firstLine="16"/>
            </w:pPr>
            <w:r>
              <w:rPr>
                <w:spacing w:val="-2"/>
              </w:rPr>
              <w:t>1、各方面内容全面，项目计划和进度安排明确合理，人员等各方面保障完善，能</w:t>
            </w:r>
            <w:r>
              <w:t xml:space="preserve"> </w:t>
            </w:r>
            <w:r>
              <w:rPr>
                <w:spacing w:val="-4"/>
              </w:rPr>
              <w:t>有效保障项目进度的，得</w:t>
            </w:r>
            <w:r>
              <w:rPr>
                <w:spacing w:val="-24"/>
              </w:rPr>
              <w:t xml:space="preserve"> </w:t>
            </w:r>
            <w:r>
              <w:rPr>
                <w:spacing w:val="-4"/>
              </w:rPr>
              <w:t>10</w:t>
            </w:r>
            <w:r>
              <w:rPr>
                <w:spacing w:val="-48"/>
              </w:rPr>
              <w:t xml:space="preserve"> </w:t>
            </w:r>
            <w:r>
              <w:rPr>
                <w:spacing w:val="-4"/>
              </w:rPr>
              <w:t>分；</w:t>
            </w:r>
          </w:p>
          <w:p w14:paraId="64EF08CF">
            <w:pPr>
              <w:pStyle w:val="437"/>
              <w:spacing w:before="26" w:line="229" w:lineRule="auto"/>
              <w:ind w:left="115" w:right="104"/>
            </w:pPr>
            <w:r>
              <w:rPr>
                <w:spacing w:val="-2"/>
              </w:rPr>
              <w:t>2、各方面内容准确，项目计划和进度安排较为明确合理，人员等各方面保障较完</w:t>
            </w:r>
            <w:r>
              <w:rPr>
                <w:spacing w:val="15"/>
              </w:rPr>
              <w:t xml:space="preserve"> </w:t>
            </w:r>
            <w:r>
              <w:rPr>
                <w:spacing w:val="-3"/>
              </w:rPr>
              <w:t>善，能较好保障项目进度的，得</w:t>
            </w:r>
            <w:r>
              <w:rPr>
                <w:spacing w:val="-34"/>
              </w:rPr>
              <w:t xml:space="preserve"> </w:t>
            </w:r>
            <w:r>
              <w:rPr>
                <w:spacing w:val="-3"/>
              </w:rPr>
              <w:t>6</w:t>
            </w:r>
            <w:r>
              <w:rPr>
                <w:spacing w:val="-48"/>
              </w:rPr>
              <w:t xml:space="preserve"> </w:t>
            </w:r>
            <w:r>
              <w:rPr>
                <w:spacing w:val="-3"/>
              </w:rPr>
              <w:t>分；</w:t>
            </w:r>
          </w:p>
          <w:p w14:paraId="412B99AC">
            <w:pPr>
              <w:pStyle w:val="437"/>
              <w:spacing w:before="26" w:line="230" w:lineRule="auto"/>
              <w:ind w:left="114" w:right="104" w:firstLine="3"/>
              <w:rPr>
                <w:spacing w:val="-4"/>
              </w:rPr>
            </w:pPr>
            <w:r>
              <w:rPr>
                <w:spacing w:val="-2"/>
              </w:rPr>
              <w:t>3、各方面内容一般，项目计划和进度安排一般，人员等各方面保障一般，能基本</w:t>
            </w:r>
            <w:r>
              <w:rPr>
                <w:spacing w:val="13"/>
              </w:rPr>
              <w:t xml:space="preserve"> </w:t>
            </w:r>
            <w:r>
              <w:rPr>
                <w:spacing w:val="-4"/>
              </w:rPr>
              <w:t>保障项目进度，得</w:t>
            </w:r>
            <w:r>
              <w:rPr>
                <w:spacing w:val="-40"/>
              </w:rPr>
              <w:t xml:space="preserve"> </w:t>
            </w:r>
            <w:r>
              <w:rPr>
                <w:spacing w:val="-4"/>
              </w:rPr>
              <w:t>2</w:t>
            </w:r>
            <w:r>
              <w:rPr>
                <w:spacing w:val="-48"/>
              </w:rPr>
              <w:t xml:space="preserve"> </w:t>
            </w:r>
            <w:r>
              <w:rPr>
                <w:spacing w:val="-4"/>
              </w:rPr>
              <w:t>分；</w:t>
            </w:r>
          </w:p>
          <w:p w14:paraId="6B1794F7">
            <w:pPr>
              <w:pStyle w:val="437"/>
              <w:spacing w:before="26" w:line="230" w:lineRule="auto"/>
              <w:ind w:left="114" w:right="104" w:firstLine="3"/>
              <w:rPr>
                <w:rFonts w:hint="eastAsia" w:cs="宋体"/>
                <w:sz w:val="24"/>
                <w:lang w:bidi="ar"/>
              </w:rPr>
            </w:pPr>
            <w:r>
              <w:rPr>
                <w:spacing w:val="-1"/>
              </w:rPr>
              <w:t>4、未提供本项不得分。</w:t>
            </w:r>
          </w:p>
        </w:tc>
        <w:tc>
          <w:tcPr>
            <w:tcW w:w="2440" w:type="dxa"/>
            <w:noWrap w:val="0"/>
            <w:vAlign w:val="center"/>
          </w:tcPr>
          <w:p w14:paraId="7EF0358D">
            <w:pPr>
              <w:ind w:left="-38"/>
              <w:rPr>
                <w:sz w:val="24"/>
              </w:rPr>
            </w:pPr>
          </w:p>
        </w:tc>
      </w:tr>
      <w:tr w14:paraId="6018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3DD7F0AB">
            <w:pPr>
              <w:ind w:firstLine="28"/>
              <w:jc w:val="center"/>
              <w:rPr>
                <w:sz w:val="24"/>
              </w:rPr>
            </w:pPr>
            <w:r>
              <w:rPr>
                <w:rFonts w:hint="eastAsia"/>
                <w:sz w:val="24"/>
              </w:rPr>
              <w:t>2.6</w:t>
            </w:r>
          </w:p>
        </w:tc>
        <w:tc>
          <w:tcPr>
            <w:tcW w:w="1462" w:type="dxa"/>
            <w:noWrap w:val="0"/>
            <w:vAlign w:val="center"/>
          </w:tcPr>
          <w:p w14:paraId="5742D6DB">
            <w:pPr>
              <w:widowControl/>
              <w:spacing w:line="360" w:lineRule="auto"/>
              <w:jc w:val="left"/>
              <w:rPr>
                <w:rFonts w:hint="eastAsia" w:cs="宋体"/>
                <w:color w:val="000000"/>
                <w:sz w:val="24"/>
                <w:lang w:bidi="ar"/>
              </w:rPr>
            </w:pPr>
            <w:r>
              <w:rPr>
                <w:rFonts w:hint="eastAsia" w:cs="宋体"/>
                <w:color w:val="000000"/>
                <w:sz w:val="24"/>
                <w:lang w:bidi="ar"/>
              </w:rPr>
              <w:t>绿化养护措 施</w:t>
            </w:r>
          </w:p>
        </w:tc>
        <w:tc>
          <w:tcPr>
            <w:tcW w:w="913" w:type="dxa"/>
            <w:noWrap w:val="0"/>
            <w:vAlign w:val="center"/>
          </w:tcPr>
          <w:p w14:paraId="35450D67">
            <w:pPr>
              <w:widowControl/>
              <w:spacing w:line="360" w:lineRule="auto"/>
              <w:jc w:val="center"/>
              <w:rPr>
                <w:rFonts w:hint="default" w:eastAsia="宋体" w:cs="宋体"/>
                <w:sz w:val="24"/>
                <w:lang w:val="en-US" w:eastAsia="zh-CN"/>
              </w:rPr>
            </w:pPr>
            <w:r>
              <w:rPr>
                <w:rFonts w:hint="eastAsia" w:cs="宋体"/>
                <w:sz w:val="24"/>
                <w:lang w:val="en-US" w:eastAsia="zh-CN"/>
              </w:rPr>
              <w:t>10</w:t>
            </w:r>
          </w:p>
        </w:tc>
        <w:tc>
          <w:tcPr>
            <w:tcW w:w="3978" w:type="dxa"/>
            <w:noWrap w:val="0"/>
            <w:vAlign w:val="center"/>
          </w:tcPr>
          <w:p w14:paraId="4EA15696">
            <w:pPr>
              <w:pStyle w:val="437"/>
              <w:spacing w:before="39" w:line="229" w:lineRule="auto"/>
              <w:ind w:left="114" w:right="104" w:firstLine="16"/>
            </w:pPr>
            <w:r>
              <w:rPr>
                <w:spacing w:val="-2"/>
              </w:rPr>
              <w:t>1、绿化养护措施：树木、草坪、花卉、绿篱及地被等养护措施方案具体详尽、符</w:t>
            </w:r>
            <w:r>
              <w:t xml:space="preserve"> </w:t>
            </w:r>
            <w:r>
              <w:rPr>
                <w:spacing w:val="-3"/>
              </w:rPr>
              <w:t>合实际、切实可行，非常科学合理的得</w:t>
            </w:r>
            <w:r>
              <w:rPr>
                <w:spacing w:val="-21"/>
              </w:rPr>
              <w:t xml:space="preserve"> </w:t>
            </w:r>
            <w:r>
              <w:rPr>
                <w:spacing w:val="-3"/>
              </w:rPr>
              <w:t>10</w:t>
            </w:r>
            <w:r>
              <w:rPr>
                <w:spacing w:val="-48"/>
              </w:rPr>
              <w:t xml:space="preserve"> </w:t>
            </w:r>
            <w:r>
              <w:rPr>
                <w:spacing w:val="-3"/>
              </w:rPr>
              <w:t>分；</w:t>
            </w:r>
          </w:p>
          <w:p w14:paraId="38B66050">
            <w:pPr>
              <w:pStyle w:val="437"/>
              <w:spacing w:before="26" w:line="229" w:lineRule="auto"/>
              <w:ind w:left="115" w:right="23"/>
            </w:pPr>
            <w:r>
              <w:rPr>
                <w:spacing w:val="-6"/>
              </w:rPr>
              <w:t>2、绿化养护措施：树木、草坪、花卉、绿篱及地被等养护措施方案比较具体详尽、</w:t>
            </w:r>
            <w:r>
              <w:rPr>
                <w:spacing w:val="5"/>
              </w:rPr>
              <w:t xml:space="preserve"> </w:t>
            </w:r>
            <w:r>
              <w:rPr>
                <w:spacing w:val="-2"/>
              </w:rPr>
              <w:t>符合实际、切实可行，比较科学合理的得</w:t>
            </w:r>
            <w:r>
              <w:rPr>
                <w:spacing w:val="-43"/>
              </w:rPr>
              <w:t xml:space="preserve"> </w:t>
            </w:r>
            <w:r>
              <w:rPr>
                <w:spacing w:val="-2"/>
              </w:rPr>
              <w:t>6</w:t>
            </w:r>
            <w:r>
              <w:rPr>
                <w:spacing w:val="-48"/>
              </w:rPr>
              <w:t xml:space="preserve"> </w:t>
            </w:r>
            <w:r>
              <w:rPr>
                <w:spacing w:val="-2"/>
              </w:rPr>
              <w:t>分；</w:t>
            </w:r>
          </w:p>
          <w:p w14:paraId="69FDAA2E">
            <w:pPr>
              <w:pStyle w:val="437"/>
              <w:spacing w:before="26" w:line="230" w:lineRule="auto"/>
              <w:ind w:left="118" w:right="104"/>
              <w:rPr>
                <w:spacing w:val="-3"/>
              </w:rPr>
            </w:pPr>
            <w:r>
              <w:rPr>
                <w:spacing w:val="-2"/>
              </w:rPr>
              <w:t>3、绿化养护措施：树木、草坪、花卉、绿篱及地被等养护措施方案一般，不够科</w:t>
            </w:r>
            <w:r>
              <w:rPr>
                <w:spacing w:val="13"/>
              </w:rPr>
              <w:t xml:space="preserve"> </w:t>
            </w:r>
            <w:r>
              <w:rPr>
                <w:spacing w:val="-3"/>
              </w:rPr>
              <w:t>学合理的的得 2</w:t>
            </w:r>
            <w:r>
              <w:rPr>
                <w:spacing w:val="14"/>
              </w:rPr>
              <w:t xml:space="preserve"> </w:t>
            </w:r>
            <w:r>
              <w:rPr>
                <w:spacing w:val="-3"/>
              </w:rPr>
              <w:t>分；</w:t>
            </w:r>
          </w:p>
          <w:p w14:paraId="4B9CEB1D">
            <w:pPr>
              <w:pStyle w:val="437"/>
              <w:spacing w:before="26" w:line="230" w:lineRule="auto"/>
              <w:ind w:left="118" w:right="104"/>
              <w:rPr>
                <w:rFonts w:hint="eastAsia" w:cs="宋体"/>
                <w:color w:val="000000"/>
                <w:sz w:val="24"/>
                <w:lang w:bidi="ar"/>
              </w:rPr>
            </w:pPr>
            <w:r>
              <w:rPr>
                <w:spacing w:val="-1"/>
              </w:rPr>
              <w:t>4、未提供的不得分。</w:t>
            </w:r>
          </w:p>
        </w:tc>
        <w:tc>
          <w:tcPr>
            <w:tcW w:w="2440" w:type="dxa"/>
            <w:noWrap w:val="0"/>
            <w:vAlign w:val="center"/>
          </w:tcPr>
          <w:p w14:paraId="51DE0031">
            <w:pPr>
              <w:ind w:left="-38"/>
              <w:rPr>
                <w:sz w:val="24"/>
              </w:rPr>
            </w:pPr>
          </w:p>
        </w:tc>
      </w:tr>
      <w:tr w14:paraId="71F2B5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00A37EC6">
            <w:pPr>
              <w:ind w:firstLine="28"/>
              <w:jc w:val="center"/>
              <w:rPr>
                <w:sz w:val="24"/>
              </w:rPr>
            </w:pPr>
            <w:r>
              <w:rPr>
                <w:rFonts w:hint="eastAsia"/>
                <w:sz w:val="24"/>
              </w:rPr>
              <w:t>2.7</w:t>
            </w:r>
          </w:p>
        </w:tc>
        <w:tc>
          <w:tcPr>
            <w:tcW w:w="1462" w:type="dxa"/>
            <w:noWrap w:val="0"/>
            <w:vAlign w:val="center"/>
          </w:tcPr>
          <w:p w14:paraId="6440FB47">
            <w:pPr>
              <w:widowControl/>
              <w:spacing w:line="360" w:lineRule="auto"/>
              <w:jc w:val="left"/>
              <w:rPr>
                <w:rFonts w:hint="eastAsia" w:cs="宋体"/>
                <w:color w:val="000000"/>
                <w:sz w:val="24"/>
                <w:lang w:bidi="ar"/>
              </w:rPr>
            </w:pPr>
            <w:r>
              <w:rPr>
                <w:rFonts w:hint="eastAsia" w:cs="宋体"/>
                <w:color w:val="000000"/>
                <w:sz w:val="24"/>
                <w:lang w:bidi="ar"/>
              </w:rPr>
              <w:t>极端天气和</w:t>
            </w:r>
          </w:p>
          <w:p w14:paraId="1B33EA12">
            <w:pPr>
              <w:widowControl/>
              <w:spacing w:line="360" w:lineRule="auto"/>
              <w:jc w:val="left"/>
              <w:rPr>
                <w:rFonts w:hint="eastAsia" w:cs="宋体"/>
                <w:color w:val="000000"/>
                <w:sz w:val="24"/>
                <w:lang w:bidi="ar"/>
              </w:rPr>
            </w:pPr>
            <w:r>
              <w:rPr>
                <w:rFonts w:hint="eastAsia" w:cs="宋体"/>
                <w:color w:val="000000"/>
                <w:sz w:val="24"/>
                <w:lang w:bidi="ar"/>
              </w:rPr>
              <w:t>突发事件预</w:t>
            </w:r>
          </w:p>
          <w:p w14:paraId="2ABFBEEC">
            <w:pPr>
              <w:widowControl/>
              <w:spacing w:line="360" w:lineRule="auto"/>
              <w:jc w:val="left"/>
              <w:rPr>
                <w:rFonts w:hint="eastAsia" w:cs="宋体"/>
                <w:color w:val="000000"/>
                <w:sz w:val="24"/>
                <w:lang w:bidi="ar"/>
              </w:rPr>
            </w:pPr>
            <w:r>
              <w:rPr>
                <w:rFonts w:hint="eastAsia" w:cs="宋体"/>
                <w:color w:val="000000"/>
                <w:sz w:val="24"/>
                <w:lang w:bidi="ar"/>
              </w:rPr>
              <w:t>案</w:t>
            </w:r>
          </w:p>
        </w:tc>
        <w:tc>
          <w:tcPr>
            <w:tcW w:w="913" w:type="dxa"/>
            <w:noWrap w:val="0"/>
            <w:vAlign w:val="center"/>
          </w:tcPr>
          <w:p w14:paraId="6D5A99E7">
            <w:pPr>
              <w:widowControl/>
              <w:spacing w:line="360" w:lineRule="auto"/>
              <w:jc w:val="center"/>
              <w:rPr>
                <w:rFonts w:hint="eastAsia" w:eastAsia="宋体" w:cs="宋体"/>
                <w:sz w:val="24"/>
                <w:lang w:eastAsia="zh-CN"/>
              </w:rPr>
            </w:pPr>
            <w:r>
              <w:rPr>
                <w:rFonts w:hint="eastAsia" w:cs="宋体"/>
                <w:sz w:val="24"/>
                <w:lang w:val="en-US" w:eastAsia="zh-CN"/>
              </w:rPr>
              <w:t>8</w:t>
            </w:r>
          </w:p>
        </w:tc>
        <w:tc>
          <w:tcPr>
            <w:tcW w:w="3978" w:type="dxa"/>
            <w:noWrap w:val="0"/>
            <w:vAlign w:val="center"/>
          </w:tcPr>
          <w:p w14:paraId="7BF67C33">
            <w:pPr>
              <w:pStyle w:val="437"/>
              <w:spacing w:before="36" w:line="230" w:lineRule="auto"/>
              <w:ind w:left="113" w:right="104"/>
            </w:pPr>
            <w:r>
              <w:rPr>
                <w:spacing w:val="2"/>
              </w:rPr>
              <w:t>包含且不限于对抗旱保苗预案、防台风应急预案、防寒防冻应急预案、</w:t>
            </w:r>
            <w:r>
              <w:rPr>
                <w:spacing w:val="1"/>
              </w:rPr>
              <w:t>排水防涝</w:t>
            </w:r>
            <w:r>
              <w:t xml:space="preserve"> </w:t>
            </w:r>
            <w:r>
              <w:rPr>
                <w:spacing w:val="-1"/>
              </w:rPr>
              <w:t>应急预案等进行评比：</w:t>
            </w:r>
          </w:p>
          <w:p w14:paraId="33928153">
            <w:pPr>
              <w:pStyle w:val="437"/>
              <w:spacing w:before="23" w:line="219" w:lineRule="auto"/>
              <w:ind w:left="131"/>
            </w:pPr>
            <w:r>
              <w:rPr>
                <w:spacing w:val="-2"/>
              </w:rPr>
              <w:t>1、应急预案全面完善，科学合理，可操作性强的得 8</w:t>
            </w:r>
            <w:r>
              <w:rPr>
                <w:spacing w:val="-35"/>
              </w:rPr>
              <w:t xml:space="preserve"> </w:t>
            </w:r>
            <w:r>
              <w:rPr>
                <w:spacing w:val="-2"/>
              </w:rPr>
              <w:t>分；</w:t>
            </w:r>
          </w:p>
          <w:p w14:paraId="5DE48AB4">
            <w:pPr>
              <w:pStyle w:val="437"/>
              <w:spacing w:before="27" w:line="219" w:lineRule="auto"/>
              <w:ind w:left="116"/>
            </w:pPr>
            <w:r>
              <w:rPr>
                <w:spacing w:val="-2"/>
              </w:rPr>
              <w:t>2、应急预案基本完整，较合理、操作性一般的得</w:t>
            </w:r>
            <w:r>
              <w:rPr>
                <w:spacing w:val="-36"/>
              </w:rPr>
              <w:t xml:space="preserve"> </w:t>
            </w:r>
            <w:r>
              <w:rPr>
                <w:spacing w:val="-2"/>
              </w:rPr>
              <w:t>5</w:t>
            </w:r>
            <w:r>
              <w:rPr>
                <w:spacing w:val="-48"/>
              </w:rPr>
              <w:t xml:space="preserve"> </w:t>
            </w:r>
            <w:r>
              <w:rPr>
                <w:spacing w:val="-2"/>
              </w:rPr>
              <w:t>分；</w:t>
            </w:r>
          </w:p>
          <w:p w14:paraId="100F344E">
            <w:pPr>
              <w:pStyle w:val="437"/>
              <w:spacing w:before="26" w:line="220" w:lineRule="auto"/>
              <w:ind w:left="118"/>
              <w:rPr>
                <w:spacing w:val="-2"/>
              </w:rPr>
            </w:pPr>
            <w:r>
              <w:rPr>
                <w:spacing w:val="-2"/>
              </w:rPr>
              <w:t>3、应急预案内容缺失，少量有操作性的得</w:t>
            </w:r>
            <w:r>
              <w:rPr>
                <w:spacing w:val="-44"/>
              </w:rPr>
              <w:t xml:space="preserve"> </w:t>
            </w:r>
            <w:r>
              <w:rPr>
                <w:spacing w:val="-2"/>
              </w:rPr>
              <w:t>2</w:t>
            </w:r>
            <w:r>
              <w:rPr>
                <w:spacing w:val="-48"/>
              </w:rPr>
              <w:t xml:space="preserve"> </w:t>
            </w:r>
            <w:r>
              <w:rPr>
                <w:spacing w:val="-2"/>
              </w:rPr>
              <w:t>分；</w:t>
            </w:r>
          </w:p>
          <w:p w14:paraId="5CEB18D5">
            <w:pPr>
              <w:pStyle w:val="437"/>
              <w:spacing w:before="26" w:line="220" w:lineRule="auto"/>
              <w:ind w:left="118"/>
              <w:rPr>
                <w:rFonts w:hint="eastAsia" w:cs="宋体"/>
                <w:color w:val="000000"/>
                <w:sz w:val="24"/>
                <w:lang w:bidi="ar"/>
              </w:rPr>
            </w:pPr>
            <w:r>
              <w:rPr>
                <w:spacing w:val="-1"/>
              </w:rPr>
              <w:t>4、未提供的不得分。</w:t>
            </w:r>
          </w:p>
        </w:tc>
        <w:tc>
          <w:tcPr>
            <w:tcW w:w="2440" w:type="dxa"/>
            <w:noWrap w:val="0"/>
            <w:vAlign w:val="center"/>
          </w:tcPr>
          <w:p w14:paraId="03789EA2">
            <w:pPr>
              <w:ind w:left="-38"/>
              <w:rPr>
                <w:sz w:val="24"/>
              </w:rPr>
            </w:pPr>
          </w:p>
          <w:p w14:paraId="253D91F4">
            <w:pPr>
              <w:ind w:left="-38"/>
              <w:rPr>
                <w:sz w:val="24"/>
              </w:rPr>
            </w:pPr>
          </w:p>
        </w:tc>
      </w:tr>
      <w:tr w14:paraId="21A66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2C813841">
            <w:pPr>
              <w:ind w:firstLine="28"/>
              <w:jc w:val="center"/>
              <w:rPr>
                <w:rFonts w:hint="eastAsia"/>
                <w:sz w:val="24"/>
              </w:rPr>
            </w:pPr>
            <w:r>
              <w:rPr>
                <w:rFonts w:hint="eastAsia"/>
                <w:sz w:val="24"/>
              </w:rPr>
              <w:t>2.8</w:t>
            </w:r>
          </w:p>
        </w:tc>
        <w:tc>
          <w:tcPr>
            <w:tcW w:w="1462" w:type="dxa"/>
            <w:noWrap w:val="0"/>
            <w:vAlign w:val="center"/>
          </w:tcPr>
          <w:p w14:paraId="6C608BF4">
            <w:pPr>
              <w:widowControl/>
              <w:spacing w:line="360" w:lineRule="auto"/>
              <w:jc w:val="left"/>
              <w:rPr>
                <w:rFonts w:hint="eastAsia" w:cs="宋体"/>
                <w:color w:val="000000"/>
                <w:sz w:val="24"/>
                <w:lang w:val="zh-CN" w:bidi="ar"/>
              </w:rPr>
            </w:pPr>
            <w:r>
              <w:rPr>
                <w:rFonts w:hint="eastAsia" w:cs="宋体"/>
                <w:color w:val="000000"/>
                <w:sz w:val="24"/>
                <w:lang w:val="zh-CN" w:bidi="ar"/>
              </w:rPr>
              <w:t>安全文明保 障措施</w:t>
            </w:r>
          </w:p>
        </w:tc>
        <w:tc>
          <w:tcPr>
            <w:tcW w:w="913" w:type="dxa"/>
            <w:noWrap w:val="0"/>
            <w:vAlign w:val="center"/>
          </w:tcPr>
          <w:p w14:paraId="13CD111D">
            <w:pPr>
              <w:widowControl/>
              <w:spacing w:line="360" w:lineRule="auto"/>
              <w:jc w:val="center"/>
              <w:rPr>
                <w:rFonts w:hint="eastAsia" w:eastAsia="宋体" w:cs="宋体"/>
                <w:sz w:val="24"/>
                <w:lang w:eastAsia="zh-CN"/>
              </w:rPr>
            </w:pPr>
            <w:r>
              <w:rPr>
                <w:rFonts w:hint="eastAsia" w:cs="宋体"/>
                <w:sz w:val="24"/>
                <w:lang w:val="en-US" w:eastAsia="zh-CN"/>
              </w:rPr>
              <w:t>7</w:t>
            </w:r>
          </w:p>
        </w:tc>
        <w:tc>
          <w:tcPr>
            <w:tcW w:w="3978" w:type="dxa"/>
            <w:noWrap w:val="0"/>
            <w:vAlign w:val="center"/>
          </w:tcPr>
          <w:p w14:paraId="7A7285AC">
            <w:pPr>
              <w:pStyle w:val="437"/>
              <w:spacing w:before="36" w:line="230" w:lineRule="auto"/>
              <w:ind w:left="115" w:right="104" w:hanging="2"/>
            </w:pPr>
            <w:r>
              <w:rPr>
                <w:spacing w:val="2"/>
              </w:rPr>
              <w:t>包括但不限于对安全文明保障措施、作业安全管理措施、安全设施设备</w:t>
            </w:r>
            <w:r>
              <w:rPr>
                <w:spacing w:val="1"/>
              </w:rPr>
              <w:t>、安全检</w:t>
            </w:r>
            <w:r>
              <w:t xml:space="preserve"> </w:t>
            </w:r>
            <w:r>
              <w:rPr>
                <w:spacing w:val="-1"/>
              </w:rPr>
              <w:t>查记录、安全教育培训计划等综合比较</w:t>
            </w:r>
          </w:p>
          <w:p w14:paraId="3D73A821">
            <w:pPr>
              <w:pStyle w:val="437"/>
              <w:spacing w:before="23" w:line="220" w:lineRule="auto"/>
              <w:ind w:left="131"/>
            </w:pPr>
            <w:r>
              <w:rPr>
                <w:spacing w:val="-2"/>
              </w:rPr>
              <w:t>1、安全文明保障措施全面完善，针对性及可行性强得</w:t>
            </w:r>
            <w:r>
              <w:rPr>
                <w:spacing w:val="-45"/>
              </w:rPr>
              <w:t xml:space="preserve"> </w:t>
            </w:r>
            <w:r>
              <w:rPr>
                <w:spacing w:val="-2"/>
              </w:rPr>
              <w:t>7</w:t>
            </w:r>
            <w:r>
              <w:rPr>
                <w:spacing w:val="-48"/>
              </w:rPr>
              <w:t xml:space="preserve"> </w:t>
            </w:r>
            <w:r>
              <w:rPr>
                <w:spacing w:val="-3"/>
              </w:rPr>
              <w:t>分；</w:t>
            </w:r>
          </w:p>
          <w:p w14:paraId="4A39C124">
            <w:pPr>
              <w:pStyle w:val="437"/>
              <w:spacing w:before="26" w:line="219" w:lineRule="auto"/>
              <w:ind w:left="116"/>
            </w:pPr>
            <w:r>
              <w:rPr>
                <w:spacing w:val="-1"/>
              </w:rPr>
              <w:t>2、安全文明保障措施基本完整，针对性及可行性一般的得 4</w:t>
            </w:r>
            <w:r>
              <w:rPr>
                <w:spacing w:val="-44"/>
              </w:rPr>
              <w:t xml:space="preserve"> </w:t>
            </w:r>
            <w:r>
              <w:rPr>
                <w:spacing w:val="-1"/>
              </w:rPr>
              <w:t>分；</w:t>
            </w:r>
          </w:p>
          <w:p w14:paraId="4FDB2067">
            <w:pPr>
              <w:pStyle w:val="437"/>
              <w:spacing w:before="26" w:line="220" w:lineRule="auto"/>
              <w:ind w:left="118"/>
              <w:rPr>
                <w:spacing w:val="-2"/>
              </w:rPr>
            </w:pPr>
            <w:r>
              <w:rPr>
                <w:spacing w:val="-1"/>
              </w:rPr>
              <w:t>3、安全文明保障措施内容不完整，缺漏较多，部分具有</w:t>
            </w:r>
            <w:r>
              <w:rPr>
                <w:spacing w:val="-2"/>
              </w:rPr>
              <w:t>可行性的得</w:t>
            </w:r>
            <w:r>
              <w:rPr>
                <w:spacing w:val="-33"/>
              </w:rPr>
              <w:t xml:space="preserve"> </w:t>
            </w:r>
            <w:r>
              <w:rPr>
                <w:spacing w:val="-2"/>
              </w:rPr>
              <w:t>1 分；</w:t>
            </w:r>
          </w:p>
          <w:p w14:paraId="56C58629">
            <w:pPr>
              <w:pStyle w:val="437"/>
              <w:spacing w:before="26" w:line="220" w:lineRule="auto"/>
              <w:ind w:left="118"/>
              <w:rPr>
                <w:rFonts w:hint="eastAsia" w:cs="黑体"/>
                <w:sz w:val="24"/>
                <w:lang w:val="zh-CN" w:bidi="ar"/>
              </w:rPr>
            </w:pPr>
            <w:r>
              <w:rPr>
                <w:spacing w:val="-1"/>
              </w:rPr>
              <w:t>4、未提供的不得分。</w:t>
            </w:r>
          </w:p>
        </w:tc>
        <w:tc>
          <w:tcPr>
            <w:tcW w:w="2440" w:type="dxa"/>
            <w:noWrap w:val="0"/>
            <w:vAlign w:val="center"/>
          </w:tcPr>
          <w:p w14:paraId="24A8A6AE">
            <w:pPr>
              <w:ind w:left="-38"/>
              <w:rPr>
                <w:sz w:val="24"/>
              </w:rPr>
            </w:pPr>
          </w:p>
        </w:tc>
      </w:tr>
      <w:tr w14:paraId="648A3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25E3DB54">
            <w:pPr>
              <w:ind w:firstLine="28"/>
              <w:jc w:val="center"/>
              <w:rPr>
                <w:sz w:val="24"/>
              </w:rPr>
            </w:pPr>
            <w:r>
              <w:rPr>
                <w:rFonts w:hint="eastAsia"/>
                <w:sz w:val="24"/>
              </w:rPr>
              <w:t>3</w:t>
            </w:r>
          </w:p>
        </w:tc>
        <w:tc>
          <w:tcPr>
            <w:tcW w:w="1462" w:type="dxa"/>
            <w:noWrap w:val="0"/>
            <w:vAlign w:val="center"/>
          </w:tcPr>
          <w:p w14:paraId="59B58609">
            <w:pPr>
              <w:ind w:firstLine="28"/>
              <w:jc w:val="center"/>
              <w:rPr>
                <w:sz w:val="24"/>
              </w:rPr>
            </w:pPr>
            <w:r>
              <w:rPr>
                <w:rFonts w:hint="eastAsia"/>
                <w:sz w:val="24"/>
              </w:rPr>
              <w:t>客观分</w:t>
            </w:r>
          </w:p>
        </w:tc>
        <w:tc>
          <w:tcPr>
            <w:tcW w:w="913" w:type="dxa"/>
            <w:noWrap w:val="0"/>
            <w:vAlign w:val="center"/>
          </w:tcPr>
          <w:p w14:paraId="0EAEAAD0">
            <w:pPr>
              <w:ind w:firstLine="28"/>
              <w:jc w:val="center"/>
              <w:rPr>
                <w:rFonts w:hint="default" w:eastAsia="宋体"/>
                <w:sz w:val="24"/>
                <w:lang w:val="en-US" w:eastAsia="zh-CN"/>
              </w:rPr>
            </w:pPr>
            <w:r>
              <w:rPr>
                <w:rFonts w:hint="eastAsia"/>
                <w:sz w:val="24"/>
                <w:lang w:val="en-US" w:eastAsia="zh-CN"/>
              </w:rPr>
              <w:t>15</w:t>
            </w:r>
          </w:p>
        </w:tc>
        <w:tc>
          <w:tcPr>
            <w:tcW w:w="3978" w:type="dxa"/>
            <w:noWrap w:val="0"/>
            <w:vAlign w:val="center"/>
          </w:tcPr>
          <w:p w14:paraId="070ECB3D">
            <w:pPr>
              <w:rPr>
                <w:sz w:val="24"/>
              </w:rPr>
            </w:pPr>
          </w:p>
        </w:tc>
        <w:tc>
          <w:tcPr>
            <w:tcW w:w="2440" w:type="dxa"/>
            <w:noWrap w:val="0"/>
            <w:vAlign w:val="center"/>
          </w:tcPr>
          <w:p w14:paraId="5D3651EC">
            <w:pPr>
              <w:ind w:left="-38"/>
              <w:rPr>
                <w:sz w:val="24"/>
              </w:rPr>
            </w:pPr>
          </w:p>
        </w:tc>
      </w:tr>
      <w:tr w14:paraId="110BF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8" w:hRule="atLeast"/>
        </w:trPr>
        <w:tc>
          <w:tcPr>
            <w:tcW w:w="835" w:type="dxa"/>
            <w:noWrap w:val="0"/>
            <w:vAlign w:val="center"/>
          </w:tcPr>
          <w:p w14:paraId="4CF16180">
            <w:pPr>
              <w:jc w:val="center"/>
              <w:rPr>
                <w:rFonts w:hint="eastAsia" w:eastAsia="宋体"/>
                <w:sz w:val="24"/>
                <w:lang w:eastAsia="zh-CN"/>
              </w:rPr>
            </w:pPr>
            <w:r>
              <w:rPr>
                <w:rFonts w:hint="eastAsia"/>
                <w:sz w:val="24"/>
              </w:rPr>
              <w:t>3.</w:t>
            </w:r>
            <w:r>
              <w:rPr>
                <w:rFonts w:hint="eastAsia"/>
                <w:sz w:val="24"/>
                <w:lang w:val="en-US" w:eastAsia="zh-CN"/>
              </w:rPr>
              <w:t>1</w:t>
            </w:r>
          </w:p>
        </w:tc>
        <w:tc>
          <w:tcPr>
            <w:tcW w:w="1462" w:type="dxa"/>
            <w:noWrap w:val="0"/>
            <w:vAlign w:val="center"/>
          </w:tcPr>
          <w:p w14:paraId="1BFEC5E8">
            <w:pPr>
              <w:ind w:firstLine="28"/>
              <w:jc w:val="center"/>
              <w:rPr>
                <w:rFonts w:hint="default" w:eastAsia="宋体"/>
                <w:sz w:val="24"/>
                <w:lang w:val="en-US" w:eastAsia="zh-CN"/>
              </w:rPr>
            </w:pPr>
            <w:r>
              <w:rPr>
                <w:rFonts w:hint="eastAsia"/>
                <w:sz w:val="24"/>
                <w:lang w:val="en-US" w:eastAsia="zh-CN"/>
              </w:rPr>
              <w:t>企业业绩</w:t>
            </w:r>
          </w:p>
        </w:tc>
        <w:tc>
          <w:tcPr>
            <w:tcW w:w="913" w:type="dxa"/>
            <w:noWrap w:val="0"/>
            <w:vAlign w:val="center"/>
          </w:tcPr>
          <w:p w14:paraId="11F72B19">
            <w:pPr>
              <w:ind w:firstLine="28"/>
              <w:jc w:val="center"/>
              <w:rPr>
                <w:rFonts w:hint="default" w:eastAsia="宋体"/>
                <w:sz w:val="24"/>
                <w:lang w:val="en-US" w:eastAsia="zh-CN"/>
              </w:rPr>
            </w:pPr>
            <w:r>
              <w:rPr>
                <w:rFonts w:hint="eastAsia"/>
                <w:sz w:val="24"/>
                <w:lang w:val="en-US" w:eastAsia="zh-CN"/>
              </w:rPr>
              <w:t>10</w:t>
            </w:r>
          </w:p>
        </w:tc>
        <w:tc>
          <w:tcPr>
            <w:tcW w:w="3978" w:type="dxa"/>
            <w:noWrap w:val="0"/>
            <w:vAlign w:val="center"/>
          </w:tcPr>
          <w:p w14:paraId="03586692">
            <w:pPr>
              <w:rPr>
                <w:sz w:val="24"/>
              </w:rPr>
            </w:pPr>
            <w:r>
              <w:rPr>
                <w:rFonts w:hint="eastAsia"/>
                <w:sz w:val="24"/>
              </w:rPr>
              <w:t>供应商自202</w:t>
            </w:r>
            <w:r>
              <w:rPr>
                <w:rFonts w:hint="eastAsia"/>
                <w:sz w:val="24"/>
                <w:lang w:val="en-US" w:eastAsia="zh-CN"/>
              </w:rPr>
              <w:t>2</w:t>
            </w:r>
            <w:r>
              <w:rPr>
                <w:rFonts w:hint="eastAsia"/>
                <w:sz w:val="24"/>
              </w:rPr>
              <w:t>年</w:t>
            </w:r>
            <w:r>
              <w:rPr>
                <w:rFonts w:hint="eastAsia"/>
                <w:sz w:val="24"/>
                <w:lang w:val="en-US" w:eastAsia="zh-CN"/>
              </w:rPr>
              <w:t>12</w:t>
            </w:r>
            <w:r>
              <w:rPr>
                <w:rFonts w:hint="eastAsia"/>
                <w:sz w:val="24"/>
              </w:rPr>
              <w:t>月1日以来承担过类似</w:t>
            </w:r>
            <w:r>
              <w:rPr>
                <w:rFonts w:hint="eastAsia"/>
                <w:sz w:val="24"/>
                <w:lang w:val="en-US" w:eastAsia="zh-CN"/>
              </w:rPr>
              <w:t>绿化养护</w:t>
            </w:r>
            <w:r>
              <w:rPr>
                <w:rFonts w:hint="eastAsia"/>
                <w:sz w:val="24"/>
              </w:rPr>
              <w:t>工程业绩的，每有一个得5分，最高得10分。</w:t>
            </w:r>
          </w:p>
        </w:tc>
        <w:tc>
          <w:tcPr>
            <w:tcW w:w="2440" w:type="dxa"/>
            <w:noWrap w:val="0"/>
            <w:vAlign w:val="center"/>
          </w:tcPr>
          <w:p w14:paraId="1FB3E5A1">
            <w:pPr>
              <w:ind w:left="-38"/>
              <w:rPr>
                <w:rFonts w:hint="eastAsia"/>
                <w:sz w:val="24"/>
              </w:rPr>
            </w:pPr>
            <w:r>
              <w:rPr>
                <w:rFonts w:hint="eastAsia"/>
                <w:sz w:val="24"/>
              </w:rPr>
              <w:t>注</w:t>
            </w:r>
            <w:r>
              <w:rPr>
                <w:rFonts w:hint="eastAsia"/>
                <w:sz w:val="24"/>
                <w:lang w:eastAsia="zh-CN"/>
              </w:rPr>
              <w:t>：</w:t>
            </w:r>
            <w:r>
              <w:rPr>
                <w:rFonts w:hint="eastAsia"/>
                <w:sz w:val="24"/>
              </w:rPr>
              <w:t>（1）提供合同协议书。</w:t>
            </w:r>
          </w:p>
          <w:p w14:paraId="4E6EC9D7">
            <w:pPr>
              <w:ind w:left="-38"/>
              <w:rPr>
                <w:sz w:val="24"/>
              </w:rPr>
            </w:pPr>
            <w:r>
              <w:rPr>
                <w:rFonts w:hint="eastAsia"/>
                <w:sz w:val="24"/>
              </w:rPr>
              <w:t>（2）时间以合同协议书签订时间为准。</w:t>
            </w:r>
          </w:p>
        </w:tc>
      </w:tr>
      <w:tr w14:paraId="03E1E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35" w:type="dxa"/>
            <w:noWrap w:val="0"/>
            <w:vAlign w:val="center"/>
          </w:tcPr>
          <w:p w14:paraId="54DCAB8F">
            <w:pPr>
              <w:ind w:firstLine="28"/>
              <w:jc w:val="center"/>
              <w:rPr>
                <w:rFonts w:hint="eastAsia" w:eastAsia="宋体"/>
                <w:sz w:val="24"/>
                <w:lang w:eastAsia="zh-CN"/>
              </w:rPr>
            </w:pPr>
            <w:r>
              <w:rPr>
                <w:rFonts w:hint="eastAsia"/>
                <w:sz w:val="24"/>
              </w:rPr>
              <w:t>3.</w:t>
            </w:r>
            <w:r>
              <w:rPr>
                <w:rFonts w:hint="eastAsia"/>
                <w:sz w:val="24"/>
                <w:lang w:val="en-US" w:eastAsia="zh-CN"/>
              </w:rPr>
              <w:t>2</w:t>
            </w:r>
          </w:p>
        </w:tc>
        <w:tc>
          <w:tcPr>
            <w:tcW w:w="1462" w:type="dxa"/>
            <w:noWrap w:val="0"/>
            <w:vAlign w:val="center"/>
          </w:tcPr>
          <w:p w14:paraId="7820559A">
            <w:pPr>
              <w:ind w:firstLine="28"/>
              <w:jc w:val="center"/>
              <w:rPr>
                <w:sz w:val="24"/>
                <w:highlight w:val="cyan"/>
              </w:rPr>
            </w:pPr>
            <w:r>
              <w:rPr>
                <w:rFonts w:hint="eastAsia"/>
                <w:sz w:val="24"/>
                <w:highlight w:val="none"/>
              </w:rPr>
              <w:t>机具配备</w:t>
            </w:r>
          </w:p>
        </w:tc>
        <w:tc>
          <w:tcPr>
            <w:tcW w:w="913" w:type="dxa"/>
            <w:noWrap w:val="0"/>
            <w:vAlign w:val="center"/>
          </w:tcPr>
          <w:p w14:paraId="6A0A2CC2">
            <w:pPr>
              <w:ind w:firstLine="28"/>
              <w:jc w:val="center"/>
              <w:rPr>
                <w:sz w:val="24"/>
              </w:rPr>
            </w:pPr>
            <w:r>
              <w:rPr>
                <w:rFonts w:hint="eastAsia"/>
                <w:sz w:val="24"/>
                <w:lang w:val="en-US" w:eastAsia="zh-CN"/>
              </w:rPr>
              <w:t>5</w:t>
            </w:r>
          </w:p>
        </w:tc>
        <w:tc>
          <w:tcPr>
            <w:tcW w:w="3978" w:type="dxa"/>
            <w:noWrap w:val="0"/>
            <w:vAlign w:val="center"/>
          </w:tcPr>
          <w:p w14:paraId="736C57DB">
            <w:pPr>
              <w:pStyle w:val="213"/>
              <w:spacing w:line="240" w:lineRule="auto"/>
              <w:jc w:val="left"/>
              <w:rPr>
                <w:rFonts w:cs="宋体"/>
                <w:color w:val="000000"/>
              </w:rPr>
            </w:pPr>
            <w:r>
              <w:rPr>
                <w:spacing w:val="-4"/>
              </w:rPr>
              <w:t>供应商具有绿篱机、草坪机、割灌机、吹风机、油锯、水泵、药水车、打药机或</w:t>
            </w:r>
            <w:r>
              <w:rPr>
                <w:spacing w:val="-30"/>
              </w:rPr>
              <w:t xml:space="preserve"> </w:t>
            </w:r>
            <w:r>
              <w:rPr>
                <w:spacing w:val="-4"/>
              </w:rPr>
              <w:t>3</w:t>
            </w:r>
            <w:r>
              <w:t xml:space="preserve"> </w:t>
            </w:r>
            <w:r>
              <w:rPr>
                <w:spacing w:val="-4"/>
              </w:rPr>
              <w:t>吨及以上洒水车的，每有一辆得</w:t>
            </w:r>
            <w:r>
              <w:rPr>
                <w:spacing w:val="-29"/>
              </w:rPr>
              <w:t xml:space="preserve"> </w:t>
            </w:r>
            <w:r>
              <w:rPr>
                <w:spacing w:val="-4"/>
              </w:rPr>
              <w:t>1</w:t>
            </w:r>
            <w:r>
              <w:rPr>
                <w:spacing w:val="-48"/>
              </w:rPr>
              <w:t xml:space="preserve"> </w:t>
            </w:r>
            <w:r>
              <w:rPr>
                <w:spacing w:val="-4"/>
              </w:rPr>
              <w:t>分，最高得</w:t>
            </w:r>
            <w:r>
              <w:rPr>
                <w:spacing w:val="-45"/>
              </w:rPr>
              <w:t xml:space="preserve"> </w:t>
            </w:r>
            <w:r>
              <w:rPr>
                <w:spacing w:val="-4"/>
              </w:rPr>
              <w:t>5</w:t>
            </w:r>
            <w:r>
              <w:rPr>
                <w:spacing w:val="-48"/>
              </w:rPr>
              <w:t xml:space="preserve"> </w:t>
            </w:r>
            <w:r>
              <w:rPr>
                <w:spacing w:val="-4"/>
              </w:rPr>
              <w:t>分。</w:t>
            </w:r>
          </w:p>
        </w:tc>
        <w:tc>
          <w:tcPr>
            <w:tcW w:w="2440" w:type="dxa"/>
            <w:noWrap w:val="0"/>
            <w:vAlign w:val="center"/>
          </w:tcPr>
          <w:p w14:paraId="6A119B49">
            <w:pPr>
              <w:rPr>
                <w:rFonts w:hint="eastAsia"/>
                <w:sz w:val="24"/>
              </w:rPr>
            </w:pPr>
            <w:r>
              <w:rPr>
                <w:rFonts w:hint="eastAsia" w:ascii="宋体" w:hAnsi="宋体"/>
                <w:bCs/>
                <w:sz w:val="24"/>
              </w:rPr>
              <w:t>注：设备为供应商自 有的须提供采购发票，如为租赁则须提供租赁协议</w:t>
            </w:r>
          </w:p>
        </w:tc>
      </w:tr>
      <w:tr w14:paraId="45978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297" w:type="dxa"/>
            <w:gridSpan w:val="2"/>
            <w:noWrap w:val="0"/>
            <w:vAlign w:val="center"/>
          </w:tcPr>
          <w:p w14:paraId="57951B96">
            <w:pPr>
              <w:ind w:firstLine="28"/>
              <w:jc w:val="center"/>
              <w:rPr>
                <w:sz w:val="24"/>
              </w:rPr>
            </w:pPr>
            <w:r>
              <w:rPr>
                <w:sz w:val="24"/>
              </w:rPr>
              <w:t>合计</w:t>
            </w:r>
          </w:p>
        </w:tc>
        <w:tc>
          <w:tcPr>
            <w:tcW w:w="913" w:type="dxa"/>
            <w:noWrap w:val="0"/>
            <w:vAlign w:val="center"/>
          </w:tcPr>
          <w:p w14:paraId="6579AD62">
            <w:pPr>
              <w:ind w:firstLine="28"/>
              <w:jc w:val="center"/>
              <w:rPr>
                <w:sz w:val="24"/>
              </w:rPr>
            </w:pPr>
            <w:r>
              <w:rPr>
                <w:sz w:val="24"/>
              </w:rPr>
              <w:t>100</w:t>
            </w:r>
          </w:p>
        </w:tc>
        <w:tc>
          <w:tcPr>
            <w:tcW w:w="6418" w:type="dxa"/>
            <w:gridSpan w:val="2"/>
            <w:noWrap w:val="0"/>
            <w:vAlign w:val="center"/>
          </w:tcPr>
          <w:p w14:paraId="06058444">
            <w:pPr>
              <w:rPr>
                <w:sz w:val="24"/>
              </w:rPr>
            </w:pPr>
          </w:p>
        </w:tc>
      </w:tr>
    </w:tbl>
    <w:p w14:paraId="7A1C7F56">
      <w:pPr>
        <w:pStyle w:val="204"/>
        <w:numPr>
          <w:ilvl w:val="0"/>
          <w:numId w:val="0"/>
        </w:numPr>
      </w:pPr>
    </w:p>
    <w:p w14:paraId="758D9850">
      <w:pPr>
        <w:spacing w:line="360" w:lineRule="auto"/>
        <w:rPr>
          <w:rFonts w:ascii="宋体" w:hAnsi="宋体"/>
          <w:b/>
          <w:bCs/>
          <w:sz w:val="24"/>
        </w:rPr>
      </w:pPr>
      <w:bookmarkStart w:id="639" w:name="_Toc104818928"/>
      <w:r>
        <w:rPr>
          <w:rFonts w:ascii="宋体" w:hAnsi="宋体"/>
          <w:b/>
          <w:bCs/>
          <w:sz w:val="24"/>
        </w:rPr>
        <w:t>注</w:t>
      </w:r>
      <w:r>
        <w:rPr>
          <w:rFonts w:hint="eastAsia" w:ascii="宋体" w:hAnsi="宋体"/>
          <w:b/>
          <w:bCs/>
          <w:sz w:val="24"/>
        </w:rPr>
        <w:t>：1、证明材料由响应供应商自行提供，磋商小组根据响应供应商提供的相关证明材料进行评审，相关证明材料的全面性、有效性、完整性、真实性由响应供应商自行负责。</w:t>
      </w:r>
    </w:p>
    <w:p w14:paraId="07613FB2">
      <w:pPr>
        <w:spacing w:line="360" w:lineRule="auto"/>
        <w:rPr>
          <w:rFonts w:hint="eastAsia" w:ascii="宋体" w:hAnsi="宋体"/>
          <w:b/>
          <w:bCs/>
          <w:sz w:val="24"/>
        </w:rPr>
      </w:pPr>
      <w:r>
        <w:rPr>
          <w:rFonts w:hint="eastAsia" w:ascii="宋体" w:hAnsi="宋体"/>
          <w:b/>
          <w:bCs/>
          <w:sz w:val="24"/>
        </w:rPr>
        <w:t>2、以上所需资料均应真实、有效，如发现响应供应商涉嫌资料造假等，采购人将有权取消其成交资格，并保留进一步追究其法律责任的权利。</w:t>
      </w:r>
    </w:p>
    <w:p w14:paraId="2FA01C1E">
      <w:pPr>
        <w:spacing w:line="360" w:lineRule="auto"/>
        <w:ind w:firstLine="723"/>
        <w:jc w:val="center"/>
        <w:outlineLvl w:val="0"/>
        <w:rPr>
          <w:sz w:val="24"/>
        </w:rPr>
      </w:pPr>
      <w:r>
        <w:rPr>
          <w:b/>
          <w:sz w:val="36"/>
          <w:szCs w:val="36"/>
        </w:rPr>
        <w:br w:type="page" w:clear="all"/>
      </w:r>
      <w:r>
        <w:rPr>
          <w:b/>
          <w:sz w:val="36"/>
          <w:szCs w:val="36"/>
        </w:rPr>
        <w:t>第四章   采购需求</w:t>
      </w:r>
      <w:bookmarkEnd w:id="639"/>
    </w:p>
    <w:p w14:paraId="0E1E9B7B">
      <w:pPr>
        <w:pStyle w:val="278"/>
        <w:keepNext w:val="0"/>
        <w:keepLines w:val="0"/>
        <w:pageBreakBefore w:val="0"/>
        <w:widowControl w:val="0"/>
        <w:numPr>
          <w:ilvl w:val="0"/>
          <w:numId w:val="0"/>
        </w:numPr>
        <w:spacing w:line="360" w:lineRule="auto"/>
        <w:ind w:left="0" w:firstLine="482"/>
        <w:contextualSpacing/>
        <w:rPr>
          <w:rFonts w:hint="eastAsia" w:ascii="Times New Roman" w:hAnsi="Times New Roman" w:eastAsia="宋体"/>
          <w:b/>
          <w:sz w:val="24"/>
          <w:szCs w:val="24"/>
          <w:lang w:eastAsia="zh-CN"/>
        </w:rPr>
      </w:pPr>
      <w:r>
        <w:rPr>
          <w:rFonts w:hint="eastAsia" w:ascii="Times New Roman" w:hAnsi="Times New Roman"/>
          <w:b/>
          <w:sz w:val="24"/>
          <w:szCs w:val="24"/>
          <w:lang w:eastAsia="zh-CN"/>
        </w:rPr>
        <w:t>一、项目概况</w:t>
      </w:r>
    </w:p>
    <w:p w14:paraId="0D094B62">
      <w:pPr>
        <w:keepNext w:val="0"/>
        <w:keepLines w:val="0"/>
        <w:pageBreakBefore w:val="0"/>
        <w:widowControl w:val="0"/>
        <w:spacing w:line="360" w:lineRule="auto"/>
        <w:ind w:left="0" w:firstLine="480"/>
        <w:contextualSpacing/>
        <w:rPr>
          <w:bCs/>
          <w:sz w:val="24"/>
        </w:rPr>
      </w:pPr>
      <w:r>
        <w:rPr>
          <w:bCs/>
          <w:sz w:val="24"/>
        </w:rPr>
        <w:t>1.</w:t>
      </w:r>
      <w:r>
        <w:rPr>
          <w:rFonts w:hint="eastAsia"/>
          <w:bCs/>
          <w:sz w:val="24"/>
          <w:lang w:val="en-US" w:eastAsia="zh-CN"/>
        </w:rPr>
        <w:t xml:space="preserve"> </w:t>
      </w:r>
      <w:r>
        <w:rPr>
          <w:rFonts w:hint="eastAsia"/>
          <w:bCs/>
          <w:sz w:val="24"/>
          <w:lang w:eastAsia="zh-CN"/>
        </w:rPr>
        <w:t>项目名称：</w:t>
      </w:r>
      <w:r>
        <w:rPr>
          <w:rFonts w:hint="eastAsia" w:cs="Times New Roman"/>
          <w:bCs/>
          <w:sz w:val="24"/>
          <w:lang w:eastAsia="zh-CN"/>
        </w:rPr>
        <w:t>埭头镇2025年-2026年、2026年-2027年考评区域内绿化养护项目</w:t>
      </w:r>
    </w:p>
    <w:p w14:paraId="7100AE41">
      <w:pPr>
        <w:keepNext w:val="0"/>
        <w:keepLines w:val="0"/>
        <w:pageBreakBefore w:val="0"/>
        <w:widowControl w:val="0"/>
        <w:spacing w:line="360" w:lineRule="auto"/>
        <w:ind w:left="0" w:firstLine="480"/>
        <w:contextualSpacing/>
        <w:rPr>
          <w:rFonts w:hint="eastAsia" w:ascii="Times New Roman" w:hAnsi="Times New Roman" w:eastAsia="宋体" w:cs="Times New Roman"/>
          <w:bCs/>
          <w:sz w:val="24"/>
          <w:lang w:eastAsia="zh-CN"/>
        </w:rPr>
      </w:pPr>
      <w:r>
        <w:rPr>
          <w:bCs/>
          <w:sz w:val="24"/>
        </w:rPr>
        <w:t xml:space="preserve">2. </w:t>
      </w:r>
      <w:r>
        <w:rPr>
          <w:rFonts w:hint="eastAsia"/>
          <w:bCs/>
          <w:sz w:val="24"/>
          <w:lang w:eastAsia="zh-CN"/>
        </w:rPr>
        <w:t>采购需求：</w:t>
      </w:r>
      <w:r>
        <w:rPr>
          <w:rFonts w:hint="eastAsia" w:ascii="Times New Roman" w:hAnsi="Times New Roman" w:eastAsia="宋体" w:cs="Times New Roman"/>
          <w:bCs/>
          <w:sz w:val="24"/>
          <w:lang w:eastAsia="zh-CN"/>
        </w:rPr>
        <w:t>镇区范围道路两侧绿化养护</w:t>
      </w:r>
      <w:r>
        <w:rPr>
          <w:rFonts w:hint="eastAsia" w:cs="Times New Roman"/>
          <w:bCs/>
          <w:sz w:val="24"/>
          <w:lang w:eastAsia="zh-CN"/>
        </w:rPr>
        <w:t>，</w:t>
      </w:r>
      <w:r>
        <w:rPr>
          <w:rFonts w:hint="eastAsia" w:cs="Times New Roman"/>
          <w:bCs/>
          <w:sz w:val="24"/>
          <w:lang w:val="en-US" w:eastAsia="zh-CN"/>
        </w:rPr>
        <w:t>面积共</w:t>
      </w:r>
      <w:r>
        <w:rPr>
          <w:rFonts w:hint="eastAsia" w:cs="Times New Roman"/>
          <w:bCs/>
          <w:sz w:val="24"/>
          <w:highlight w:val="none"/>
          <w:lang w:val="en-US" w:eastAsia="zh-CN"/>
        </w:rPr>
        <w:t>206558.04㎡</w:t>
      </w:r>
      <w:r>
        <w:rPr>
          <w:rFonts w:hint="eastAsia" w:ascii="Times New Roman" w:hAnsi="Times New Roman" w:eastAsia="宋体" w:cs="Times New Roman"/>
          <w:bCs/>
          <w:sz w:val="24"/>
          <w:lang w:eastAsia="zh-CN"/>
        </w:rPr>
        <w:t>。</w:t>
      </w:r>
    </w:p>
    <w:p w14:paraId="5FD77C94">
      <w:pPr>
        <w:pStyle w:val="278"/>
        <w:keepNext w:val="0"/>
        <w:keepLines w:val="0"/>
        <w:pageBreakBefore w:val="0"/>
        <w:widowControl w:val="0"/>
        <w:spacing w:line="360" w:lineRule="auto"/>
        <w:ind w:left="0" w:firstLine="482"/>
        <w:contextualSpacing/>
        <w:rPr>
          <w:rFonts w:ascii="Times New Roman" w:hAnsi="Times New Roman"/>
          <w:b/>
          <w:sz w:val="24"/>
          <w:szCs w:val="24"/>
          <w:highlight w:val="none"/>
        </w:rPr>
      </w:pPr>
      <w:r>
        <w:rPr>
          <w:rFonts w:hint="eastAsia" w:ascii="Times New Roman" w:hAnsi="Times New Roman"/>
          <w:b/>
          <w:sz w:val="24"/>
          <w:szCs w:val="24"/>
          <w:highlight w:val="none"/>
        </w:rPr>
        <w:t>二、</w:t>
      </w:r>
      <w:r>
        <w:rPr>
          <w:rFonts w:ascii="Times New Roman" w:hAnsi="Times New Roman"/>
          <w:b/>
          <w:sz w:val="24"/>
          <w:szCs w:val="24"/>
          <w:highlight w:val="none"/>
        </w:rPr>
        <w:t>商务要求</w:t>
      </w:r>
    </w:p>
    <w:p w14:paraId="2A301C07">
      <w:pPr>
        <w:keepNext w:val="0"/>
        <w:keepLines w:val="0"/>
        <w:pageBreakBefore w:val="0"/>
        <w:widowControl w:val="0"/>
        <w:spacing w:line="360" w:lineRule="auto"/>
        <w:ind w:left="0" w:firstLine="480"/>
        <w:rPr>
          <w:i/>
          <w:sz w:val="24"/>
          <w:highlight w:val="none"/>
        </w:rPr>
      </w:pPr>
      <w:r>
        <w:rPr>
          <w:rFonts w:hint="eastAsia"/>
          <w:sz w:val="24"/>
          <w:highlight w:val="none"/>
        </w:rPr>
        <w:t>1.</w:t>
      </w:r>
      <w:r>
        <w:rPr>
          <w:rFonts w:hint="eastAsia"/>
          <w:sz w:val="24"/>
          <w:highlight w:val="none"/>
          <w:lang w:val="en-US" w:eastAsia="zh-CN"/>
        </w:rPr>
        <w:t xml:space="preserve"> </w:t>
      </w:r>
      <w:r>
        <w:rPr>
          <w:rFonts w:hint="eastAsia"/>
          <w:sz w:val="24"/>
          <w:highlight w:val="none"/>
        </w:rPr>
        <w:t>管养期：</w:t>
      </w:r>
      <w:r>
        <w:rPr>
          <w:rFonts w:hint="eastAsia"/>
          <w:sz w:val="24"/>
          <w:highlight w:val="none"/>
          <w:lang w:val="en-US" w:eastAsia="zh-CN"/>
        </w:rPr>
        <w:t>两</w:t>
      </w:r>
      <w:r>
        <w:rPr>
          <w:rFonts w:hint="eastAsia"/>
          <w:sz w:val="24"/>
          <w:highlight w:val="none"/>
        </w:rPr>
        <w:t>年</w:t>
      </w:r>
      <w:r>
        <w:rPr>
          <w:sz w:val="24"/>
          <w:highlight w:val="none"/>
        </w:rPr>
        <w:t xml:space="preserve"> </w:t>
      </w:r>
    </w:p>
    <w:p w14:paraId="6991F683">
      <w:pPr>
        <w:keepNext w:val="0"/>
        <w:keepLines w:val="0"/>
        <w:pageBreakBefore w:val="0"/>
        <w:widowControl w:val="0"/>
        <w:spacing w:line="360" w:lineRule="auto"/>
        <w:ind w:left="0" w:firstLine="480"/>
        <w:contextualSpacing/>
        <w:rPr>
          <w:rFonts w:hint="eastAsia"/>
          <w:color w:val="auto"/>
          <w:sz w:val="24"/>
          <w:highlight w:val="none"/>
        </w:rPr>
      </w:pPr>
      <w:r>
        <w:rPr>
          <w:sz w:val="24"/>
        </w:rPr>
        <w:t>2. 付款</w:t>
      </w:r>
      <w:r>
        <w:rPr>
          <w:sz w:val="24"/>
          <w:highlight w:val="none"/>
        </w:rPr>
        <w:t>方式</w:t>
      </w:r>
      <w:r>
        <w:rPr>
          <w:rFonts w:hint="eastAsia"/>
          <w:sz w:val="24"/>
          <w:highlight w:val="none"/>
        </w:rPr>
        <w:t>：</w:t>
      </w:r>
      <w:r>
        <w:rPr>
          <w:rFonts w:hint="eastAsia"/>
          <w:color w:val="auto"/>
          <w:sz w:val="24"/>
          <w:highlight w:val="none"/>
          <w:lang w:val="en-US" w:eastAsia="zh-CN"/>
        </w:rPr>
        <w:t>按</w:t>
      </w:r>
      <w:r>
        <w:rPr>
          <w:rFonts w:hint="eastAsia"/>
          <w:color w:val="auto"/>
          <w:sz w:val="24"/>
          <w:highlight w:val="none"/>
        </w:rPr>
        <w:t>季度支付，</w:t>
      </w:r>
      <w:r>
        <w:rPr>
          <w:rFonts w:hint="eastAsia"/>
          <w:color w:val="auto"/>
          <w:sz w:val="24"/>
          <w:highlight w:val="none"/>
          <w:lang w:val="en-US" w:eastAsia="zh-CN"/>
        </w:rPr>
        <w:t>采购人</w:t>
      </w:r>
      <w:r>
        <w:rPr>
          <w:rFonts w:hint="eastAsia"/>
          <w:color w:val="auto"/>
          <w:sz w:val="24"/>
          <w:highlight w:val="none"/>
        </w:rPr>
        <w:t>于次季度将上季度外包费用支付给</w:t>
      </w:r>
      <w:r>
        <w:rPr>
          <w:rFonts w:hint="eastAsia"/>
          <w:color w:val="auto"/>
          <w:sz w:val="24"/>
          <w:highlight w:val="none"/>
          <w:lang w:val="en-US" w:eastAsia="zh-CN"/>
        </w:rPr>
        <w:t>中标人</w:t>
      </w:r>
      <w:r>
        <w:rPr>
          <w:rFonts w:hint="eastAsia"/>
          <w:color w:val="auto"/>
          <w:sz w:val="24"/>
          <w:highlight w:val="none"/>
        </w:rPr>
        <w:t>，季度实际支付金额按《埭头镇绿化管养考核实施细则》规定发生扣款的在季度作业服务款中支付扣除。</w:t>
      </w:r>
    </w:p>
    <w:p w14:paraId="3D2956F9">
      <w:pPr>
        <w:keepNext w:val="0"/>
        <w:keepLines w:val="0"/>
        <w:pageBreakBefore w:val="0"/>
        <w:widowControl w:val="0"/>
        <w:spacing w:line="360" w:lineRule="auto"/>
        <w:ind w:left="0" w:firstLine="480"/>
        <w:contextualSpacing/>
        <w:rPr>
          <w:rFonts w:hint="eastAsia"/>
          <w:sz w:val="24"/>
        </w:rPr>
      </w:pPr>
      <w:r>
        <w:rPr>
          <w:rFonts w:hint="eastAsia"/>
          <w:color w:val="auto"/>
          <w:sz w:val="24"/>
          <w:highlight w:val="none"/>
          <w:lang w:val="en-US" w:eastAsia="zh-CN"/>
        </w:rPr>
        <w:t>3.</w:t>
      </w:r>
      <w:r>
        <w:rPr>
          <w:rFonts w:hint="eastAsia"/>
          <w:color w:val="auto"/>
          <w:sz w:val="24"/>
        </w:rPr>
        <w:t>质</w:t>
      </w:r>
      <w:r>
        <w:rPr>
          <w:rFonts w:hint="eastAsia"/>
          <w:sz w:val="24"/>
        </w:rPr>
        <w:t>量要求：符合《埭头镇绿化管养考核实施细则》</w:t>
      </w:r>
    </w:p>
    <w:p w14:paraId="0F7543C3">
      <w:pPr>
        <w:pStyle w:val="13"/>
        <w:spacing w:before="182" w:line="220" w:lineRule="auto"/>
        <w:ind w:left="29"/>
      </w:pPr>
      <w:r>
        <w:rPr>
          <w:b/>
          <w:bCs/>
          <w:spacing w:val="-1"/>
        </w:rPr>
        <w:t>三、服务要求</w:t>
      </w:r>
    </w:p>
    <w:p w14:paraId="528A03FD">
      <w:pPr>
        <w:pStyle w:val="13"/>
        <w:spacing w:before="179" w:line="220" w:lineRule="auto"/>
        <w:ind w:left="527"/>
      </w:pPr>
      <w:r>
        <w:rPr>
          <w:b/>
          <w:bCs/>
          <w:spacing w:val="-7"/>
        </w:rPr>
        <w:t>1、养护范围</w:t>
      </w:r>
    </w:p>
    <w:p w14:paraId="00AE47E7">
      <w:pPr>
        <w:pStyle w:val="13"/>
        <w:spacing w:before="180" w:line="220" w:lineRule="auto"/>
        <w:ind w:left="456"/>
        <w:rPr>
          <w:b/>
          <w:bCs/>
          <w:spacing w:val="-3"/>
          <w:sz w:val="24"/>
          <w:szCs w:val="24"/>
          <w:highlight w:val="yellow"/>
        </w:rPr>
      </w:pPr>
      <w:r>
        <w:rPr>
          <w:rFonts w:ascii="Times New Roman" w:hAnsi="Times New Roman" w:eastAsia="Times New Roman" w:cs="Times New Roman"/>
          <w:b/>
          <w:bCs/>
          <w:spacing w:val="-3"/>
          <w:sz w:val="24"/>
          <w:szCs w:val="24"/>
          <w:highlight w:val="none"/>
        </w:rPr>
        <w:t xml:space="preserve">1.1 </w:t>
      </w:r>
      <w:r>
        <w:rPr>
          <w:b/>
          <w:bCs/>
          <w:spacing w:val="-3"/>
          <w:sz w:val="24"/>
          <w:szCs w:val="24"/>
          <w:highlight w:val="none"/>
        </w:rPr>
        <w:t>一级绿化养护区域：</w:t>
      </w:r>
    </w:p>
    <w:tbl>
      <w:tblPr>
        <w:tblStyle w:val="30"/>
        <w:tblpPr w:leftFromText="1240" w:rightFromText="1400" w:vertAnchor="text" w:horzAnchor="page" w:tblpX="1480"/>
        <w:tblW w:w="91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3880"/>
        <w:gridCol w:w="4192"/>
      </w:tblGrid>
      <w:tr w14:paraId="25E62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1567FCC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序号</w:t>
            </w:r>
          </w:p>
        </w:tc>
        <w:tc>
          <w:tcPr>
            <w:tcW w:w="3880" w:type="dxa"/>
            <w:vAlign w:val="center"/>
          </w:tcPr>
          <w:p w14:paraId="779B28F8">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道路名称</w:t>
            </w:r>
          </w:p>
        </w:tc>
        <w:tc>
          <w:tcPr>
            <w:tcW w:w="4192" w:type="dxa"/>
            <w:vAlign w:val="center"/>
          </w:tcPr>
          <w:p w14:paraId="2C6CD294">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第三方实测面积（</w:t>
            </w:r>
            <w:r>
              <w:rPr>
                <w:rFonts w:hint="eastAsia" w:ascii="Times New Roman" w:hAnsi="Times New Roman" w:eastAsia="宋体" w:cs="Times New Roman"/>
                <w:sz w:val="23"/>
                <w:szCs w:val="22"/>
                <w:lang w:eastAsia="en-US"/>
              </w:rPr>
              <w:t>㎡</w:t>
            </w:r>
            <w:r>
              <w:rPr>
                <w:rFonts w:hint="default" w:ascii="Times New Roman" w:hAnsi="Times New Roman" w:eastAsia="宋体" w:cs="Times New Roman"/>
                <w:sz w:val="23"/>
                <w:szCs w:val="22"/>
                <w:lang w:eastAsia="en-US"/>
              </w:rPr>
              <w:t>）</w:t>
            </w:r>
          </w:p>
        </w:tc>
      </w:tr>
      <w:tr w14:paraId="6CE1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1DBC396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1</w:t>
            </w:r>
          </w:p>
        </w:tc>
        <w:tc>
          <w:tcPr>
            <w:tcW w:w="3880" w:type="dxa"/>
            <w:vAlign w:val="center"/>
          </w:tcPr>
          <w:p w14:paraId="70DBED49">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人民路</w:t>
            </w:r>
          </w:p>
        </w:tc>
        <w:tc>
          <w:tcPr>
            <w:tcW w:w="4192" w:type="dxa"/>
            <w:vAlign w:val="center"/>
          </w:tcPr>
          <w:p w14:paraId="6C791A2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5509.36</w:t>
            </w:r>
          </w:p>
        </w:tc>
      </w:tr>
      <w:tr w14:paraId="3493E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60A22EE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2</w:t>
            </w:r>
          </w:p>
        </w:tc>
        <w:tc>
          <w:tcPr>
            <w:tcW w:w="3880" w:type="dxa"/>
            <w:vAlign w:val="center"/>
          </w:tcPr>
          <w:p w14:paraId="560512C6">
            <w:pPr>
              <w:widowControl/>
              <w:spacing w:after="0" w:line="288" w:lineRule="auto"/>
              <w:jc w:val="center"/>
              <w:rPr>
                <w:rFonts w:hint="default" w:ascii="Times New Roman" w:hAnsi="Times New Roman" w:eastAsia="宋体" w:cs="Times New Roman"/>
                <w:sz w:val="22"/>
                <w:szCs w:val="22"/>
                <w:lang w:eastAsia="en-US"/>
              </w:rPr>
            </w:pPr>
            <w:r>
              <w:rPr>
                <w:rFonts w:hint="eastAsia" w:ascii="Times New Roman" w:hAnsi="Times New Roman" w:eastAsia="宋体" w:cs="Times New Roman"/>
                <w:sz w:val="23"/>
                <w:szCs w:val="22"/>
                <w:lang w:val="en-US" w:eastAsia="zh-CN"/>
              </w:rPr>
              <w:t>埭</w:t>
            </w:r>
            <w:r>
              <w:rPr>
                <w:rFonts w:hint="default" w:ascii="Times New Roman" w:hAnsi="Times New Roman" w:eastAsia="宋体" w:cs="Times New Roman"/>
                <w:sz w:val="23"/>
                <w:szCs w:val="22"/>
                <w:lang w:eastAsia="en-US"/>
              </w:rPr>
              <w:t>头公园政府广场</w:t>
            </w:r>
          </w:p>
        </w:tc>
        <w:tc>
          <w:tcPr>
            <w:tcW w:w="4192" w:type="dxa"/>
            <w:vAlign w:val="center"/>
          </w:tcPr>
          <w:p w14:paraId="1EF022A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30551.26</w:t>
            </w:r>
          </w:p>
        </w:tc>
      </w:tr>
      <w:tr w14:paraId="0A2BF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3D822AE5">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3</w:t>
            </w:r>
          </w:p>
        </w:tc>
        <w:tc>
          <w:tcPr>
            <w:tcW w:w="3880" w:type="dxa"/>
            <w:vAlign w:val="center"/>
          </w:tcPr>
          <w:p w14:paraId="76AFF82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前圩路</w:t>
            </w:r>
          </w:p>
        </w:tc>
        <w:tc>
          <w:tcPr>
            <w:tcW w:w="4192" w:type="dxa"/>
            <w:vAlign w:val="center"/>
          </w:tcPr>
          <w:p w14:paraId="1986D344">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4898.52</w:t>
            </w:r>
          </w:p>
        </w:tc>
      </w:tr>
      <w:tr w14:paraId="3F478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752A701E">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4</w:t>
            </w:r>
          </w:p>
        </w:tc>
        <w:tc>
          <w:tcPr>
            <w:tcW w:w="3880" w:type="dxa"/>
            <w:vAlign w:val="center"/>
          </w:tcPr>
          <w:p w14:paraId="545CDB79">
            <w:pPr>
              <w:widowControl/>
              <w:spacing w:after="0" w:line="288" w:lineRule="auto"/>
              <w:jc w:val="center"/>
              <w:rPr>
                <w:rFonts w:hint="default" w:ascii="Times New Roman" w:hAnsi="Times New Roman" w:eastAsia="宋体" w:cs="Times New Roman"/>
                <w:sz w:val="22"/>
                <w:szCs w:val="22"/>
                <w:lang w:eastAsia="en-US"/>
              </w:rPr>
            </w:pPr>
            <w:r>
              <w:rPr>
                <w:rFonts w:hint="eastAsia" w:ascii="Times New Roman" w:hAnsi="Times New Roman" w:eastAsia="宋体" w:cs="Times New Roman"/>
                <w:sz w:val="23"/>
                <w:szCs w:val="22"/>
                <w:lang w:val="en-US" w:eastAsia="zh-CN"/>
              </w:rPr>
              <w:t>埭</w:t>
            </w:r>
            <w:r>
              <w:rPr>
                <w:rFonts w:hint="default" w:ascii="Times New Roman" w:hAnsi="Times New Roman" w:eastAsia="宋体" w:cs="Times New Roman"/>
                <w:sz w:val="23"/>
                <w:szCs w:val="22"/>
                <w:lang w:eastAsia="en-US"/>
              </w:rPr>
              <w:t>中路</w:t>
            </w:r>
          </w:p>
        </w:tc>
        <w:tc>
          <w:tcPr>
            <w:tcW w:w="4192" w:type="dxa"/>
            <w:vAlign w:val="center"/>
          </w:tcPr>
          <w:p w14:paraId="69FAA58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3357.27</w:t>
            </w:r>
          </w:p>
        </w:tc>
      </w:tr>
      <w:tr w14:paraId="7534E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3E71595B">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5</w:t>
            </w:r>
          </w:p>
        </w:tc>
        <w:tc>
          <w:tcPr>
            <w:tcW w:w="3880" w:type="dxa"/>
            <w:vAlign w:val="center"/>
          </w:tcPr>
          <w:p w14:paraId="3472BD1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皇母苑广场</w:t>
            </w:r>
          </w:p>
        </w:tc>
        <w:tc>
          <w:tcPr>
            <w:tcW w:w="4192" w:type="dxa"/>
            <w:vAlign w:val="center"/>
          </w:tcPr>
          <w:p w14:paraId="17127C7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1212.55</w:t>
            </w:r>
          </w:p>
        </w:tc>
      </w:tr>
      <w:tr w14:paraId="15D42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tcPr>
          <w:p w14:paraId="6E89C2F4">
            <w:pPr>
              <w:widowControl/>
              <w:spacing w:after="0" w:line="240" w:lineRule="auto"/>
              <w:jc w:val="left"/>
              <w:rPr>
                <w:rFonts w:hint="default" w:ascii="Times New Roman" w:hAnsi="Times New Roman" w:eastAsia="宋体" w:cs="Times New Roman"/>
                <w:sz w:val="22"/>
                <w:szCs w:val="22"/>
                <w:lang w:eastAsia="en-US"/>
              </w:rPr>
            </w:pPr>
          </w:p>
        </w:tc>
        <w:tc>
          <w:tcPr>
            <w:tcW w:w="3880" w:type="dxa"/>
            <w:vAlign w:val="center"/>
          </w:tcPr>
          <w:p w14:paraId="11DCE604">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小计</w:t>
            </w:r>
          </w:p>
        </w:tc>
        <w:tc>
          <w:tcPr>
            <w:tcW w:w="4192" w:type="dxa"/>
            <w:vAlign w:val="center"/>
          </w:tcPr>
          <w:p w14:paraId="3610D369">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3"/>
                <w:szCs w:val="22"/>
                <w:lang w:eastAsia="en-US"/>
              </w:rPr>
              <w:t>45528.96</w:t>
            </w:r>
          </w:p>
        </w:tc>
      </w:tr>
    </w:tbl>
    <w:p w14:paraId="694BEB11">
      <w:pPr>
        <w:pStyle w:val="13"/>
        <w:spacing w:before="180" w:line="220" w:lineRule="auto"/>
        <w:ind w:left="456"/>
        <w:rPr>
          <w:b/>
          <w:bCs/>
          <w:spacing w:val="-3"/>
          <w:sz w:val="24"/>
          <w:szCs w:val="24"/>
          <w:highlight w:val="yellow"/>
        </w:rPr>
      </w:pPr>
    </w:p>
    <w:p w14:paraId="724B7476">
      <w:pPr>
        <w:spacing w:line="147" w:lineRule="exact"/>
        <w:rPr>
          <w:sz w:val="24"/>
          <w:szCs w:val="24"/>
        </w:rPr>
      </w:pPr>
    </w:p>
    <w:p w14:paraId="11A2FEC1">
      <w:pPr>
        <w:pStyle w:val="13"/>
        <w:spacing w:before="35" w:line="220" w:lineRule="auto"/>
        <w:ind w:left="456"/>
        <w:rPr>
          <w:sz w:val="24"/>
          <w:szCs w:val="24"/>
        </w:rPr>
      </w:pPr>
      <w:r>
        <w:rPr>
          <w:rFonts w:ascii="Times New Roman" w:hAnsi="Times New Roman" w:eastAsia="Times New Roman" w:cs="Times New Roman"/>
          <w:b/>
          <w:bCs/>
          <w:spacing w:val="-3"/>
          <w:sz w:val="24"/>
          <w:szCs w:val="24"/>
          <w:highlight w:val="none"/>
        </w:rPr>
        <w:t xml:space="preserve">1.2 </w:t>
      </w:r>
      <w:r>
        <w:rPr>
          <w:b/>
          <w:bCs/>
          <w:spacing w:val="-3"/>
          <w:sz w:val="24"/>
          <w:szCs w:val="24"/>
          <w:highlight w:val="none"/>
        </w:rPr>
        <w:t>二级绿化养护区域</w:t>
      </w:r>
    </w:p>
    <w:p w14:paraId="2FF41C68">
      <w:pPr>
        <w:spacing w:line="147" w:lineRule="exact"/>
        <w:rPr>
          <w:sz w:val="24"/>
          <w:szCs w:val="24"/>
        </w:rPr>
      </w:pPr>
    </w:p>
    <w:tbl>
      <w:tblPr>
        <w:tblStyle w:val="30"/>
        <w:tblpPr w:leftFromText="1210" w:rightFromText="1390" w:vertAnchor="text" w:horzAnchor="page" w:tblpX="1450"/>
        <w:tblW w:w="92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0"/>
        <w:gridCol w:w="3917"/>
        <w:gridCol w:w="4213"/>
      </w:tblGrid>
      <w:tr w14:paraId="59CAD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5642ED49">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序号</w:t>
            </w:r>
          </w:p>
        </w:tc>
        <w:tc>
          <w:tcPr>
            <w:tcW w:w="3917" w:type="dxa"/>
            <w:vAlign w:val="center"/>
          </w:tcPr>
          <w:p w14:paraId="133AC00D">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道路名称</w:t>
            </w:r>
          </w:p>
        </w:tc>
        <w:tc>
          <w:tcPr>
            <w:tcW w:w="4213" w:type="dxa"/>
            <w:vAlign w:val="center"/>
          </w:tcPr>
          <w:p w14:paraId="167B9AF9">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第三方实测面积（</w:t>
            </w:r>
            <w:r>
              <w:rPr>
                <w:rFonts w:hint="eastAsia" w:ascii="Times New Roman" w:hAnsi="Times New Roman" w:eastAsia="宋体" w:cs="Times New Roman"/>
                <w:sz w:val="22"/>
                <w:szCs w:val="22"/>
                <w:lang w:eastAsia="en-US"/>
              </w:rPr>
              <w:t>㎡</w:t>
            </w:r>
            <w:r>
              <w:rPr>
                <w:rFonts w:hint="default" w:ascii="Times New Roman" w:hAnsi="Times New Roman" w:eastAsia="宋体" w:cs="Times New Roman"/>
                <w:sz w:val="22"/>
                <w:szCs w:val="22"/>
                <w:lang w:eastAsia="en-US"/>
              </w:rPr>
              <w:t>）</w:t>
            </w:r>
          </w:p>
        </w:tc>
      </w:tr>
      <w:tr w14:paraId="0517A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354E107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w:t>
            </w:r>
          </w:p>
        </w:tc>
        <w:tc>
          <w:tcPr>
            <w:tcW w:w="3917" w:type="dxa"/>
            <w:vAlign w:val="center"/>
          </w:tcPr>
          <w:p w14:paraId="23A759E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画诗路</w:t>
            </w:r>
          </w:p>
        </w:tc>
        <w:tc>
          <w:tcPr>
            <w:tcW w:w="4213" w:type="dxa"/>
            <w:vAlign w:val="center"/>
          </w:tcPr>
          <w:p w14:paraId="4F5D492D">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20805.42</w:t>
            </w:r>
          </w:p>
        </w:tc>
      </w:tr>
      <w:tr w14:paraId="3D4F4E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5E261D45">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2</w:t>
            </w:r>
          </w:p>
        </w:tc>
        <w:tc>
          <w:tcPr>
            <w:tcW w:w="3917" w:type="dxa"/>
            <w:vAlign w:val="center"/>
          </w:tcPr>
          <w:p w14:paraId="2597DF39">
            <w:pPr>
              <w:widowControl/>
              <w:spacing w:after="0" w:line="288" w:lineRule="auto"/>
              <w:jc w:val="center"/>
              <w:rPr>
                <w:rFonts w:hint="default" w:ascii="Times New Roman" w:hAnsi="Times New Roman" w:eastAsia="宋体" w:cs="Times New Roman"/>
                <w:sz w:val="22"/>
                <w:szCs w:val="22"/>
                <w:lang w:eastAsia="en-US"/>
              </w:rPr>
            </w:pPr>
            <w:r>
              <w:rPr>
                <w:rFonts w:hint="eastAsia" w:ascii="Times New Roman" w:hAnsi="Times New Roman" w:eastAsia="宋体" w:cs="Times New Roman"/>
                <w:sz w:val="22"/>
                <w:szCs w:val="22"/>
                <w:lang w:val="en-US" w:eastAsia="zh-CN"/>
              </w:rPr>
              <w:t>埭</w:t>
            </w:r>
            <w:r>
              <w:rPr>
                <w:rFonts w:hint="default" w:ascii="Times New Roman" w:hAnsi="Times New Roman" w:eastAsia="宋体" w:cs="Times New Roman"/>
                <w:sz w:val="22"/>
                <w:szCs w:val="22"/>
                <w:lang w:eastAsia="en-US"/>
              </w:rPr>
              <w:t>中广场</w:t>
            </w:r>
          </w:p>
        </w:tc>
        <w:tc>
          <w:tcPr>
            <w:tcW w:w="4213" w:type="dxa"/>
            <w:vAlign w:val="center"/>
          </w:tcPr>
          <w:p w14:paraId="6C8B75A4">
            <w:pPr>
              <w:widowControl/>
              <w:spacing w:after="0" w:line="288" w:lineRule="auto"/>
              <w:jc w:val="center"/>
              <w:rPr>
                <w:rFonts w:hint="eastAsia" w:ascii="Times New Roman" w:hAnsi="Times New Roman" w:eastAsia="宋体" w:cs="Times New Roman"/>
                <w:sz w:val="22"/>
                <w:szCs w:val="22"/>
                <w:lang w:eastAsia="zh-CN"/>
              </w:rPr>
            </w:pPr>
            <w:r>
              <w:rPr>
                <w:rFonts w:hint="eastAsia" w:ascii="Times New Roman" w:hAnsi="Times New Roman" w:eastAsia="宋体" w:cs="Times New Roman"/>
                <w:sz w:val="22"/>
                <w:szCs w:val="22"/>
                <w:lang w:val="en-US" w:eastAsia="zh-CN"/>
              </w:rPr>
              <w:t>23000</w:t>
            </w:r>
          </w:p>
        </w:tc>
      </w:tr>
      <w:tr w14:paraId="64C8C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7D4859B5">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3</w:t>
            </w:r>
          </w:p>
        </w:tc>
        <w:tc>
          <w:tcPr>
            <w:tcW w:w="3917" w:type="dxa"/>
            <w:vAlign w:val="center"/>
          </w:tcPr>
          <w:p w14:paraId="3E5442F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白塔中心村</w:t>
            </w:r>
          </w:p>
        </w:tc>
        <w:tc>
          <w:tcPr>
            <w:tcW w:w="4213" w:type="dxa"/>
            <w:vAlign w:val="center"/>
          </w:tcPr>
          <w:p w14:paraId="349A1956">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27266.37</w:t>
            </w:r>
          </w:p>
        </w:tc>
      </w:tr>
      <w:tr w14:paraId="51EEB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62B7C89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4</w:t>
            </w:r>
          </w:p>
        </w:tc>
        <w:tc>
          <w:tcPr>
            <w:tcW w:w="3917" w:type="dxa"/>
            <w:vAlign w:val="center"/>
          </w:tcPr>
          <w:p w14:paraId="5F089050">
            <w:pPr>
              <w:widowControl/>
              <w:spacing w:after="0" w:line="288" w:lineRule="auto"/>
              <w:jc w:val="center"/>
              <w:rPr>
                <w:rFonts w:hint="default" w:ascii="Times New Roman" w:hAnsi="Times New Roman" w:eastAsia="宋体" w:cs="Times New Roman"/>
                <w:sz w:val="22"/>
                <w:szCs w:val="22"/>
                <w:lang w:eastAsia="en-US"/>
              </w:rPr>
            </w:pPr>
            <w:r>
              <w:rPr>
                <w:rFonts w:hint="eastAsia" w:ascii="Times New Roman" w:hAnsi="Times New Roman" w:eastAsia="宋体" w:cs="Times New Roman"/>
                <w:sz w:val="22"/>
                <w:szCs w:val="22"/>
                <w:lang w:val="en-US" w:eastAsia="zh-CN"/>
              </w:rPr>
              <w:t>埭</w:t>
            </w:r>
            <w:r>
              <w:rPr>
                <w:rFonts w:hint="default" w:ascii="Times New Roman" w:hAnsi="Times New Roman" w:eastAsia="宋体" w:cs="Times New Roman"/>
                <w:sz w:val="22"/>
                <w:szCs w:val="22"/>
                <w:lang w:eastAsia="en-US"/>
              </w:rPr>
              <w:t>西新村</w:t>
            </w:r>
          </w:p>
        </w:tc>
        <w:tc>
          <w:tcPr>
            <w:tcW w:w="4213" w:type="dxa"/>
            <w:vAlign w:val="center"/>
          </w:tcPr>
          <w:p w14:paraId="287757A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16915.23</w:t>
            </w:r>
          </w:p>
        </w:tc>
      </w:tr>
      <w:tr w14:paraId="07C6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0" w:type="dxa"/>
            <w:vAlign w:val="center"/>
          </w:tcPr>
          <w:p w14:paraId="20B644A8">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5</w:t>
            </w:r>
          </w:p>
        </w:tc>
        <w:tc>
          <w:tcPr>
            <w:tcW w:w="3917" w:type="dxa"/>
            <w:vAlign w:val="center"/>
          </w:tcPr>
          <w:p w14:paraId="26E34593">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江南庭院</w:t>
            </w:r>
          </w:p>
        </w:tc>
        <w:tc>
          <w:tcPr>
            <w:tcW w:w="4213" w:type="dxa"/>
            <w:vAlign w:val="center"/>
          </w:tcPr>
          <w:p w14:paraId="2B63FEC0">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5624.32</w:t>
            </w:r>
          </w:p>
        </w:tc>
      </w:tr>
      <w:tr w14:paraId="7F334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6737F95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6</w:t>
            </w:r>
          </w:p>
        </w:tc>
        <w:tc>
          <w:tcPr>
            <w:tcW w:w="3917" w:type="dxa"/>
            <w:vAlign w:val="center"/>
          </w:tcPr>
          <w:p w14:paraId="272149F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前圩新村</w:t>
            </w:r>
          </w:p>
        </w:tc>
        <w:tc>
          <w:tcPr>
            <w:tcW w:w="4213" w:type="dxa"/>
            <w:vAlign w:val="center"/>
          </w:tcPr>
          <w:p w14:paraId="14249C11">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5208.55</w:t>
            </w:r>
          </w:p>
        </w:tc>
      </w:tr>
      <w:tr w14:paraId="072B1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120B80A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7</w:t>
            </w:r>
          </w:p>
        </w:tc>
        <w:tc>
          <w:tcPr>
            <w:tcW w:w="3917" w:type="dxa"/>
            <w:vAlign w:val="center"/>
          </w:tcPr>
          <w:p w14:paraId="4E8D9B8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政府东侧滨河</w:t>
            </w:r>
          </w:p>
        </w:tc>
        <w:tc>
          <w:tcPr>
            <w:tcW w:w="4213" w:type="dxa"/>
            <w:vAlign w:val="center"/>
          </w:tcPr>
          <w:p w14:paraId="36C7081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13557.41</w:t>
            </w:r>
          </w:p>
        </w:tc>
      </w:tr>
      <w:tr w14:paraId="1DA37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5CE5B126">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8</w:t>
            </w:r>
          </w:p>
        </w:tc>
        <w:tc>
          <w:tcPr>
            <w:tcW w:w="3917" w:type="dxa"/>
            <w:vAlign w:val="center"/>
          </w:tcPr>
          <w:p w14:paraId="1C727B4D">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人民路延伸段</w:t>
            </w:r>
          </w:p>
        </w:tc>
        <w:tc>
          <w:tcPr>
            <w:tcW w:w="4213" w:type="dxa"/>
            <w:vAlign w:val="center"/>
          </w:tcPr>
          <w:p w14:paraId="3BEC885B">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3049.55</w:t>
            </w:r>
          </w:p>
        </w:tc>
      </w:tr>
      <w:tr w14:paraId="4C23D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40654C1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11</w:t>
            </w:r>
          </w:p>
        </w:tc>
        <w:tc>
          <w:tcPr>
            <w:tcW w:w="3917" w:type="dxa"/>
            <w:vAlign w:val="center"/>
          </w:tcPr>
          <w:p w14:paraId="5663340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粮店路</w:t>
            </w:r>
          </w:p>
        </w:tc>
        <w:tc>
          <w:tcPr>
            <w:tcW w:w="4213" w:type="dxa"/>
            <w:vAlign w:val="center"/>
          </w:tcPr>
          <w:p w14:paraId="3637939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1372.68</w:t>
            </w:r>
          </w:p>
        </w:tc>
      </w:tr>
      <w:tr w14:paraId="1C3FD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5133B491">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12</w:t>
            </w:r>
          </w:p>
        </w:tc>
        <w:tc>
          <w:tcPr>
            <w:tcW w:w="3917" w:type="dxa"/>
            <w:vAlign w:val="center"/>
          </w:tcPr>
          <w:p w14:paraId="67088ED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骏益东路</w:t>
            </w:r>
          </w:p>
        </w:tc>
        <w:tc>
          <w:tcPr>
            <w:tcW w:w="4213" w:type="dxa"/>
            <w:vAlign w:val="center"/>
          </w:tcPr>
          <w:p w14:paraId="13BB4C1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3360.39</w:t>
            </w:r>
          </w:p>
        </w:tc>
      </w:tr>
      <w:tr w14:paraId="3B1C95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0C88140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13</w:t>
            </w:r>
          </w:p>
        </w:tc>
        <w:tc>
          <w:tcPr>
            <w:tcW w:w="3917" w:type="dxa"/>
            <w:vAlign w:val="center"/>
          </w:tcPr>
          <w:p w14:paraId="1BF8B9FD">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骏益南路</w:t>
            </w:r>
          </w:p>
        </w:tc>
        <w:tc>
          <w:tcPr>
            <w:tcW w:w="4213" w:type="dxa"/>
            <w:vAlign w:val="center"/>
          </w:tcPr>
          <w:p w14:paraId="18D9EC06">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4050.61</w:t>
            </w:r>
          </w:p>
        </w:tc>
      </w:tr>
      <w:tr w14:paraId="0E595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57D5AA2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14</w:t>
            </w:r>
          </w:p>
        </w:tc>
        <w:tc>
          <w:tcPr>
            <w:tcW w:w="3917" w:type="dxa"/>
            <w:vAlign w:val="center"/>
          </w:tcPr>
          <w:p w14:paraId="70EC53A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小学西侧</w:t>
            </w:r>
          </w:p>
        </w:tc>
        <w:tc>
          <w:tcPr>
            <w:tcW w:w="4213" w:type="dxa"/>
            <w:vAlign w:val="center"/>
          </w:tcPr>
          <w:p w14:paraId="59B73D6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288</w:t>
            </w:r>
          </w:p>
        </w:tc>
      </w:tr>
      <w:tr w14:paraId="37C0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33AFA1F3">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15</w:t>
            </w:r>
          </w:p>
        </w:tc>
        <w:tc>
          <w:tcPr>
            <w:tcW w:w="3917" w:type="dxa"/>
            <w:vAlign w:val="center"/>
          </w:tcPr>
          <w:p w14:paraId="05436D4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中心幼儿园周边</w:t>
            </w:r>
          </w:p>
        </w:tc>
        <w:tc>
          <w:tcPr>
            <w:tcW w:w="4213" w:type="dxa"/>
            <w:vAlign w:val="center"/>
          </w:tcPr>
          <w:p w14:paraId="48D6AFF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1830</w:t>
            </w:r>
          </w:p>
        </w:tc>
      </w:tr>
      <w:tr w14:paraId="4EFD4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78CB5461">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16</w:t>
            </w:r>
          </w:p>
        </w:tc>
        <w:tc>
          <w:tcPr>
            <w:tcW w:w="3917" w:type="dxa"/>
            <w:vAlign w:val="center"/>
          </w:tcPr>
          <w:p w14:paraId="2C86BFD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春芽广场</w:t>
            </w:r>
          </w:p>
        </w:tc>
        <w:tc>
          <w:tcPr>
            <w:tcW w:w="4213" w:type="dxa"/>
            <w:vAlign w:val="center"/>
          </w:tcPr>
          <w:p w14:paraId="53F53B7B">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5802.34</w:t>
            </w:r>
          </w:p>
        </w:tc>
      </w:tr>
      <w:tr w14:paraId="654FC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20F7614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17</w:t>
            </w:r>
          </w:p>
        </w:tc>
        <w:tc>
          <w:tcPr>
            <w:tcW w:w="3917" w:type="dxa"/>
            <w:vAlign w:val="center"/>
          </w:tcPr>
          <w:p w14:paraId="7D2943A3">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西路西侧</w:t>
            </w:r>
          </w:p>
        </w:tc>
        <w:tc>
          <w:tcPr>
            <w:tcW w:w="4213" w:type="dxa"/>
            <w:vAlign w:val="center"/>
          </w:tcPr>
          <w:p w14:paraId="1A611E38">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4215.43</w:t>
            </w:r>
          </w:p>
        </w:tc>
      </w:tr>
      <w:tr w14:paraId="7E044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7EA70D11">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18</w:t>
            </w:r>
          </w:p>
        </w:tc>
        <w:tc>
          <w:tcPr>
            <w:tcW w:w="3917" w:type="dxa"/>
            <w:vAlign w:val="center"/>
          </w:tcPr>
          <w:p w14:paraId="108D56E1">
            <w:pPr>
              <w:widowControl/>
              <w:spacing w:after="0" w:line="288" w:lineRule="auto"/>
              <w:jc w:val="center"/>
              <w:rPr>
                <w:rFonts w:hint="default" w:ascii="Times New Roman" w:hAnsi="Times New Roman" w:eastAsia="宋体" w:cs="Times New Roman"/>
                <w:sz w:val="22"/>
                <w:szCs w:val="22"/>
                <w:lang w:eastAsia="en-US"/>
              </w:rPr>
            </w:pPr>
            <w:r>
              <w:rPr>
                <w:rFonts w:hint="eastAsia" w:ascii="Times New Roman" w:hAnsi="Times New Roman" w:eastAsia="宋体" w:cs="Times New Roman"/>
                <w:sz w:val="22"/>
                <w:szCs w:val="22"/>
                <w:lang w:val="en-US" w:eastAsia="zh-CN"/>
              </w:rPr>
              <w:t>埭</w:t>
            </w:r>
            <w:r>
              <w:rPr>
                <w:rFonts w:hint="default" w:ascii="Times New Roman" w:hAnsi="Times New Roman" w:eastAsia="宋体" w:cs="Times New Roman"/>
                <w:sz w:val="22"/>
                <w:szCs w:val="22"/>
                <w:lang w:eastAsia="en-US"/>
              </w:rPr>
              <w:t>头后中广场</w:t>
            </w:r>
          </w:p>
        </w:tc>
        <w:tc>
          <w:tcPr>
            <w:tcW w:w="4213" w:type="dxa"/>
            <w:vAlign w:val="center"/>
          </w:tcPr>
          <w:p w14:paraId="010817CA">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6570.42</w:t>
            </w:r>
          </w:p>
        </w:tc>
      </w:tr>
      <w:tr w14:paraId="7C55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vAlign w:val="center"/>
          </w:tcPr>
          <w:p w14:paraId="14A2A732">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19</w:t>
            </w:r>
          </w:p>
        </w:tc>
        <w:tc>
          <w:tcPr>
            <w:tcW w:w="3917" w:type="dxa"/>
            <w:vAlign w:val="center"/>
          </w:tcPr>
          <w:p w14:paraId="035AF0CC">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尚购广场</w:t>
            </w:r>
          </w:p>
        </w:tc>
        <w:tc>
          <w:tcPr>
            <w:tcW w:w="4213" w:type="dxa"/>
            <w:vAlign w:val="center"/>
          </w:tcPr>
          <w:p w14:paraId="06BAE54F">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18112.36</w:t>
            </w:r>
          </w:p>
        </w:tc>
      </w:tr>
      <w:tr w14:paraId="7C7EC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90" w:type="dxa"/>
          </w:tcPr>
          <w:p w14:paraId="4DA4A523">
            <w:pPr>
              <w:widowControl/>
              <w:spacing w:after="0" w:line="240" w:lineRule="auto"/>
              <w:jc w:val="left"/>
              <w:rPr>
                <w:rFonts w:hint="default" w:ascii="Times New Roman" w:hAnsi="Times New Roman" w:eastAsia="宋体" w:cs="Times New Roman"/>
                <w:sz w:val="22"/>
                <w:szCs w:val="22"/>
                <w:lang w:eastAsia="en-US"/>
              </w:rPr>
            </w:pPr>
          </w:p>
        </w:tc>
        <w:tc>
          <w:tcPr>
            <w:tcW w:w="3917" w:type="dxa"/>
            <w:vAlign w:val="center"/>
          </w:tcPr>
          <w:p w14:paraId="0B2D9477">
            <w:pPr>
              <w:widowControl/>
              <w:spacing w:after="0" w:line="288" w:lineRule="auto"/>
              <w:jc w:val="center"/>
              <w:rPr>
                <w:rFonts w:hint="default" w:ascii="Times New Roman" w:hAnsi="Times New Roman" w:eastAsia="宋体" w:cs="Times New Roman"/>
                <w:sz w:val="22"/>
                <w:szCs w:val="22"/>
                <w:lang w:eastAsia="en-US"/>
              </w:rPr>
            </w:pPr>
            <w:r>
              <w:rPr>
                <w:rFonts w:hint="default" w:ascii="Times New Roman" w:hAnsi="Times New Roman" w:eastAsia="宋体" w:cs="Times New Roman"/>
                <w:sz w:val="22"/>
                <w:szCs w:val="22"/>
                <w:lang w:eastAsia="en-US"/>
              </w:rPr>
              <w:t>小计</w:t>
            </w:r>
          </w:p>
        </w:tc>
        <w:tc>
          <w:tcPr>
            <w:tcW w:w="4213" w:type="dxa"/>
            <w:vAlign w:val="center"/>
          </w:tcPr>
          <w:p w14:paraId="7B48D341">
            <w:pPr>
              <w:widowControl/>
              <w:spacing w:after="0" w:line="288" w:lineRule="auto"/>
              <w:jc w:val="center"/>
              <w:rPr>
                <w:rFonts w:hint="default" w:ascii="Times New Roman" w:hAnsi="Times New Roman" w:eastAsia="宋体" w:cs="Times New Roman"/>
                <w:sz w:val="22"/>
                <w:szCs w:val="22"/>
                <w:lang w:val="en-US" w:eastAsia="zh-CN"/>
              </w:rPr>
            </w:pPr>
            <w:r>
              <w:rPr>
                <w:rFonts w:hint="eastAsia" w:ascii="Times New Roman" w:hAnsi="Times New Roman" w:eastAsia="宋体" w:cs="Times New Roman"/>
                <w:sz w:val="22"/>
                <w:szCs w:val="22"/>
                <w:lang w:val="en-US" w:eastAsia="zh-CN"/>
              </w:rPr>
              <w:t>161029.08</w:t>
            </w:r>
          </w:p>
        </w:tc>
      </w:tr>
    </w:tbl>
    <w:p w14:paraId="44543A63">
      <w:pPr>
        <w:spacing w:before="42"/>
      </w:pPr>
    </w:p>
    <w:p w14:paraId="37107C18">
      <w:pPr>
        <w:pStyle w:val="13"/>
        <w:spacing w:before="78" w:line="220" w:lineRule="auto"/>
        <w:rPr>
          <w:b/>
          <w:bCs/>
          <w:spacing w:val="-3"/>
        </w:rPr>
      </w:pPr>
      <w:r>
        <w:rPr>
          <w:b/>
          <w:bCs/>
          <w:spacing w:val="-3"/>
        </w:rPr>
        <w:t>2、养护要求：《埭头镇绿地管理要求》。</w:t>
      </w:r>
    </w:p>
    <w:tbl>
      <w:tblPr>
        <w:tblStyle w:val="429"/>
        <w:tblpPr w:leftFromText="180" w:rightFromText="180" w:vertAnchor="text" w:horzAnchor="page" w:tblpXSpec="center" w:tblpY="350"/>
        <w:tblOverlap w:val="never"/>
        <w:tblW w:w="1052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170" w:type="dxa"/>
          <w:bottom w:w="0" w:type="dxa"/>
          <w:right w:w="170" w:type="dxa"/>
        </w:tblCellMar>
      </w:tblPr>
      <w:tblGrid>
        <w:gridCol w:w="857"/>
        <w:gridCol w:w="871"/>
        <w:gridCol w:w="4381"/>
        <w:gridCol w:w="4418"/>
      </w:tblGrid>
      <w:tr w14:paraId="7C5E87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476" w:hRule="atLeast"/>
          <w:jc w:val="center"/>
        </w:trPr>
        <w:tc>
          <w:tcPr>
            <w:tcW w:w="857" w:type="dxa"/>
            <w:vAlign w:val="center"/>
          </w:tcPr>
          <w:p w14:paraId="4C7BA439">
            <w:pPr>
              <w:jc w:val="center"/>
              <w:rPr>
                <w:rFonts w:hint="eastAsia" w:ascii="宋体" w:hAnsi="宋体" w:eastAsia="宋体" w:cs="宋体"/>
                <w:b/>
                <w:bCs/>
                <w:sz w:val="24"/>
                <w:szCs w:val="24"/>
              </w:rPr>
            </w:pPr>
            <w:r>
              <w:rPr>
                <w:rFonts w:hint="eastAsia" w:ascii="宋体" w:hAnsi="宋体" w:eastAsia="宋体" w:cs="宋体"/>
                <w:b/>
                <w:bCs/>
                <w:sz w:val="24"/>
                <w:szCs w:val="24"/>
              </w:rPr>
              <w:t>序号</w:t>
            </w:r>
          </w:p>
        </w:tc>
        <w:tc>
          <w:tcPr>
            <w:tcW w:w="871" w:type="dxa"/>
            <w:vAlign w:val="center"/>
          </w:tcPr>
          <w:p w14:paraId="51A483AA">
            <w:pPr>
              <w:jc w:val="center"/>
              <w:rPr>
                <w:rFonts w:hint="eastAsia" w:ascii="宋体" w:hAnsi="宋体" w:eastAsia="宋体" w:cs="宋体"/>
                <w:b/>
                <w:bCs/>
                <w:sz w:val="24"/>
                <w:szCs w:val="24"/>
              </w:rPr>
            </w:pPr>
            <w:r>
              <w:rPr>
                <w:rFonts w:hint="eastAsia" w:ascii="宋体" w:hAnsi="宋体" w:eastAsia="宋体" w:cs="宋体"/>
                <w:b/>
                <w:bCs/>
                <w:sz w:val="24"/>
                <w:szCs w:val="24"/>
              </w:rPr>
              <w:t>内容</w:t>
            </w:r>
          </w:p>
        </w:tc>
        <w:tc>
          <w:tcPr>
            <w:tcW w:w="4381" w:type="dxa"/>
            <w:vAlign w:val="center"/>
          </w:tcPr>
          <w:p w14:paraId="01926C34">
            <w:pPr>
              <w:jc w:val="center"/>
              <w:rPr>
                <w:rFonts w:hint="eastAsia" w:ascii="宋体" w:hAnsi="宋体" w:eastAsia="宋体" w:cs="宋体"/>
                <w:b/>
                <w:bCs/>
                <w:sz w:val="24"/>
                <w:szCs w:val="24"/>
              </w:rPr>
            </w:pPr>
            <w:r>
              <w:rPr>
                <w:rFonts w:hint="eastAsia" w:ascii="宋体" w:hAnsi="宋体" w:eastAsia="宋体" w:cs="宋体"/>
                <w:b/>
                <w:bCs/>
                <w:sz w:val="24"/>
                <w:szCs w:val="24"/>
              </w:rPr>
              <w:t>特级、一级</w:t>
            </w:r>
          </w:p>
        </w:tc>
        <w:tc>
          <w:tcPr>
            <w:tcW w:w="4418" w:type="dxa"/>
            <w:vAlign w:val="center"/>
          </w:tcPr>
          <w:p w14:paraId="0BB0C269">
            <w:pPr>
              <w:jc w:val="center"/>
              <w:rPr>
                <w:rFonts w:hint="default" w:ascii="宋体" w:hAnsi="宋体" w:eastAsia="宋体" w:cs="宋体"/>
                <w:b/>
                <w:bCs/>
                <w:sz w:val="24"/>
                <w:szCs w:val="24"/>
                <w:lang w:val="en-US" w:eastAsia="zh-CN"/>
              </w:rPr>
            </w:pPr>
            <w:r>
              <w:rPr>
                <w:rFonts w:hint="eastAsia" w:ascii="宋体" w:hAnsi="宋体" w:eastAsia="宋体" w:cs="宋体"/>
                <w:b/>
                <w:bCs/>
                <w:sz w:val="24"/>
                <w:szCs w:val="24"/>
              </w:rPr>
              <w:t>二级</w:t>
            </w:r>
          </w:p>
        </w:tc>
      </w:tr>
      <w:tr w14:paraId="396DAB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90" w:hRule="atLeast"/>
          <w:jc w:val="center"/>
        </w:trPr>
        <w:tc>
          <w:tcPr>
            <w:tcW w:w="857" w:type="dxa"/>
            <w:vAlign w:val="center"/>
          </w:tcPr>
          <w:p w14:paraId="61126F7E">
            <w:pPr>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1</w:t>
            </w:r>
          </w:p>
        </w:tc>
        <w:tc>
          <w:tcPr>
            <w:tcW w:w="871" w:type="dxa"/>
            <w:vAlign w:val="center"/>
          </w:tcPr>
          <w:p w14:paraId="73FC0E98">
            <w:pPr>
              <w:jc w:val="center"/>
              <w:rPr>
                <w:rFonts w:hint="eastAsia" w:ascii="宋体" w:hAnsi="宋体" w:eastAsia="宋体" w:cs="宋体"/>
                <w:sz w:val="24"/>
                <w:szCs w:val="24"/>
              </w:rPr>
            </w:pPr>
            <w:r>
              <w:rPr>
                <w:rFonts w:hint="eastAsia" w:ascii="宋体" w:hAnsi="宋体" w:eastAsia="宋体" w:cs="宋体"/>
                <w:sz w:val="24"/>
                <w:szCs w:val="24"/>
              </w:rPr>
              <w:t>乔灌木</w:t>
            </w:r>
          </w:p>
        </w:tc>
        <w:tc>
          <w:tcPr>
            <w:tcW w:w="4381" w:type="dxa"/>
            <w:vAlign w:val="center"/>
          </w:tcPr>
          <w:p w14:paraId="6DCB3B43">
            <w:pPr>
              <w:jc w:val="both"/>
              <w:rPr>
                <w:rFonts w:hint="eastAsia" w:ascii="宋体" w:hAnsi="宋体" w:eastAsia="宋体" w:cs="宋体"/>
                <w:sz w:val="24"/>
                <w:szCs w:val="24"/>
              </w:rPr>
            </w:pPr>
            <w:r>
              <w:rPr>
                <w:rFonts w:hint="eastAsia" w:ascii="宋体" w:hAnsi="宋体" w:eastAsia="宋体" w:cs="宋体"/>
                <w:sz w:val="24"/>
                <w:szCs w:val="24"/>
              </w:rPr>
              <w:t>1、树木生长正常，不歪斜（造型树木除外）；</w:t>
            </w:r>
          </w:p>
          <w:p w14:paraId="2273A2F7">
            <w:pPr>
              <w:jc w:val="both"/>
              <w:rPr>
                <w:rFonts w:hint="eastAsia" w:ascii="宋体" w:hAnsi="宋体" w:eastAsia="宋体" w:cs="宋体"/>
                <w:sz w:val="24"/>
                <w:szCs w:val="24"/>
              </w:rPr>
            </w:pPr>
            <w:r>
              <w:rPr>
                <w:rFonts w:hint="eastAsia" w:ascii="宋体" w:hAnsi="宋体" w:eastAsia="宋体" w:cs="宋体"/>
                <w:sz w:val="24"/>
                <w:szCs w:val="24"/>
              </w:rPr>
              <w:t>2、乔木树形完美，主侧枝均匀，数量适宜，内膛通风透光，无枯死枝、过密枝、下垂枝 等；</w:t>
            </w:r>
          </w:p>
          <w:p w14:paraId="72916BBA">
            <w:pPr>
              <w:jc w:val="both"/>
              <w:rPr>
                <w:rFonts w:hint="eastAsia" w:ascii="宋体" w:hAnsi="宋体" w:eastAsia="宋体" w:cs="宋体"/>
                <w:sz w:val="24"/>
                <w:szCs w:val="24"/>
              </w:rPr>
            </w:pPr>
            <w:r>
              <w:rPr>
                <w:rFonts w:hint="eastAsia" w:ascii="宋体" w:hAnsi="宋体" w:eastAsia="宋体" w:cs="宋体"/>
                <w:sz w:val="24"/>
                <w:szCs w:val="24"/>
              </w:rPr>
              <w:t>3、花灌木开花及时，正常，花后修剪及时。</w:t>
            </w:r>
          </w:p>
          <w:p w14:paraId="4E21BE12">
            <w:pPr>
              <w:jc w:val="both"/>
              <w:rPr>
                <w:rFonts w:hint="eastAsia" w:ascii="宋体" w:hAnsi="宋体" w:eastAsia="宋体" w:cs="宋体"/>
                <w:sz w:val="24"/>
                <w:szCs w:val="24"/>
              </w:rPr>
            </w:pPr>
            <w:r>
              <w:rPr>
                <w:rFonts w:hint="eastAsia" w:ascii="宋体" w:hAnsi="宋体" w:eastAsia="宋体" w:cs="宋体"/>
                <w:sz w:val="24"/>
                <w:szCs w:val="24"/>
              </w:rPr>
              <w:t>4、乔木根部无萌蘖枝；</w:t>
            </w:r>
          </w:p>
          <w:p w14:paraId="7BC73680">
            <w:pPr>
              <w:jc w:val="both"/>
              <w:rPr>
                <w:rFonts w:hint="eastAsia" w:ascii="宋体" w:hAnsi="宋体" w:eastAsia="宋体" w:cs="宋体"/>
                <w:sz w:val="24"/>
                <w:szCs w:val="24"/>
              </w:rPr>
            </w:pPr>
            <w:r>
              <w:rPr>
                <w:rFonts w:hint="eastAsia" w:ascii="宋体" w:hAnsi="宋体" w:eastAsia="宋体" w:cs="宋体"/>
                <w:sz w:val="24"/>
                <w:szCs w:val="24"/>
              </w:rPr>
              <w:t>5、无缺株、死树，无杂树，无明显杂草；</w:t>
            </w:r>
          </w:p>
          <w:p w14:paraId="50968A28">
            <w:pPr>
              <w:jc w:val="both"/>
              <w:rPr>
                <w:rFonts w:hint="eastAsia" w:ascii="宋体" w:hAnsi="宋体" w:eastAsia="宋体" w:cs="宋体"/>
                <w:sz w:val="24"/>
                <w:szCs w:val="24"/>
              </w:rPr>
            </w:pPr>
            <w:r>
              <w:rPr>
                <w:rFonts w:hint="eastAsia" w:ascii="宋体" w:hAnsi="宋体" w:eastAsia="宋体" w:cs="宋体"/>
                <w:sz w:val="24"/>
                <w:szCs w:val="24"/>
              </w:rPr>
              <w:t>6、基本无病虫害危害迹象。</w:t>
            </w:r>
          </w:p>
        </w:tc>
        <w:tc>
          <w:tcPr>
            <w:tcW w:w="4418" w:type="dxa"/>
            <w:vAlign w:val="center"/>
          </w:tcPr>
          <w:p w14:paraId="592BC01D">
            <w:pPr>
              <w:jc w:val="both"/>
              <w:rPr>
                <w:rFonts w:hint="eastAsia" w:ascii="宋体" w:hAnsi="宋体" w:eastAsia="宋体" w:cs="宋体"/>
                <w:sz w:val="24"/>
                <w:szCs w:val="24"/>
              </w:rPr>
            </w:pPr>
            <w:r>
              <w:rPr>
                <w:rFonts w:hint="eastAsia" w:ascii="宋体" w:hAnsi="宋体" w:eastAsia="宋体" w:cs="宋体"/>
                <w:sz w:val="24"/>
                <w:szCs w:val="24"/>
              </w:rPr>
              <w:t>1、树木生长正常，不歪斜（造型树木除外）；</w:t>
            </w:r>
          </w:p>
          <w:p w14:paraId="7416FBBC">
            <w:pPr>
              <w:jc w:val="both"/>
              <w:rPr>
                <w:rFonts w:hint="eastAsia" w:ascii="宋体" w:hAnsi="宋体" w:eastAsia="宋体" w:cs="宋体"/>
                <w:sz w:val="24"/>
                <w:szCs w:val="24"/>
              </w:rPr>
            </w:pPr>
            <w:r>
              <w:rPr>
                <w:rFonts w:hint="eastAsia" w:ascii="宋体" w:hAnsi="宋体" w:eastAsia="宋体" w:cs="宋体"/>
                <w:sz w:val="24"/>
                <w:szCs w:val="24"/>
              </w:rPr>
              <w:t>2、乔木树形基本完整，符合其自然特征，无明显的枯、死枝；</w:t>
            </w:r>
          </w:p>
          <w:p w14:paraId="20B0B46A">
            <w:pPr>
              <w:jc w:val="both"/>
              <w:rPr>
                <w:rFonts w:hint="eastAsia" w:ascii="宋体" w:hAnsi="宋体" w:eastAsia="宋体" w:cs="宋体"/>
                <w:sz w:val="24"/>
                <w:szCs w:val="24"/>
              </w:rPr>
            </w:pPr>
            <w:r>
              <w:rPr>
                <w:rFonts w:hint="eastAsia" w:ascii="宋体" w:hAnsi="宋体" w:eastAsia="宋体" w:cs="宋体"/>
                <w:sz w:val="24"/>
                <w:szCs w:val="24"/>
              </w:rPr>
              <w:t>3、花灌木开花及时，花后修剪及时；</w:t>
            </w:r>
          </w:p>
          <w:p w14:paraId="7DC3436D">
            <w:pPr>
              <w:jc w:val="both"/>
              <w:rPr>
                <w:rFonts w:hint="eastAsia" w:ascii="宋体" w:hAnsi="宋体" w:eastAsia="宋体" w:cs="宋体"/>
                <w:sz w:val="24"/>
                <w:szCs w:val="24"/>
              </w:rPr>
            </w:pPr>
            <w:r>
              <w:rPr>
                <w:rFonts w:hint="eastAsia" w:ascii="宋体" w:hAnsi="宋体" w:eastAsia="宋体" w:cs="宋体"/>
                <w:sz w:val="24"/>
                <w:szCs w:val="24"/>
              </w:rPr>
              <w:t>4、无缺株、死树，无杂树，无藤本缠绕；</w:t>
            </w:r>
          </w:p>
          <w:p w14:paraId="1EB7C7C7">
            <w:pPr>
              <w:jc w:val="both"/>
              <w:rPr>
                <w:rFonts w:hint="eastAsia" w:ascii="宋体" w:hAnsi="宋体" w:eastAsia="宋体" w:cs="宋体"/>
                <w:sz w:val="24"/>
                <w:szCs w:val="24"/>
              </w:rPr>
            </w:pPr>
            <w:r>
              <w:rPr>
                <w:rFonts w:hint="eastAsia" w:ascii="宋体" w:hAnsi="宋体" w:eastAsia="宋体" w:cs="宋体"/>
                <w:sz w:val="24"/>
                <w:szCs w:val="24"/>
              </w:rPr>
              <w:t>5、无明显病虫害危害迹象；</w:t>
            </w:r>
          </w:p>
        </w:tc>
      </w:tr>
      <w:tr w14:paraId="05D55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502" w:hRule="atLeast"/>
          <w:jc w:val="center"/>
        </w:trPr>
        <w:tc>
          <w:tcPr>
            <w:tcW w:w="857" w:type="dxa"/>
            <w:vAlign w:val="center"/>
          </w:tcPr>
          <w:p w14:paraId="6D26F44A">
            <w:pPr>
              <w:jc w:val="center"/>
              <w:rPr>
                <w:rFonts w:hint="eastAsia" w:ascii="宋体" w:hAnsi="宋体" w:eastAsia="宋体" w:cs="宋体"/>
                <w:sz w:val="24"/>
                <w:szCs w:val="24"/>
              </w:rPr>
            </w:pPr>
            <w:r>
              <w:rPr>
                <w:rFonts w:hint="eastAsia" w:ascii="宋体" w:hAnsi="宋体" w:eastAsia="宋体" w:cs="宋体"/>
                <w:sz w:val="24"/>
                <w:szCs w:val="24"/>
              </w:rPr>
              <w:t>2</w:t>
            </w:r>
          </w:p>
        </w:tc>
        <w:tc>
          <w:tcPr>
            <w:tcW w:w="871" w:type="dxa"/>
            <w:vAlign w:val="center"/>
          </w:tcPr>
          <w:p w14:paraId="12B278B3">
            <w:pPr>
              <w:jc w:val="center"/>
              <w:rPr>
                <w:rFonts w:hint="eastAsia" w:ascii="宋体" w:hAnsi="宋体" w:eastAsia="宋体" w:cs="宋体"/>
                <w:sz w:val="24"/>
                <w:szCs w:val="24"/>
              </w:rPr>
            </w:pPr>
            <w:r>
              <w:rPr>
                <w:rFonts w:hint="eastAsia" w:ascii="宋体" w:hAnsi="宋体" w:eastAsia="宋体" w:cs="宋体"/>
                <w:sz w:val="24"/>
                <w:szCs w:val="24"/>
              </w:rPr>
              <w:t>绿篱色块地被</w:t>
            </w:r>
          </w:p>
        </w:tc>
        <w:tc>
          <w:tcPr>
            <w:tcW w:w="4381" w:type="dxa"/>
            <w:vAlign w:val="center"/>
          </w:tcPr>
          <w:p w14:paraId="2B4E0C85">
            <w:pPr>
              <w:jc w:val="both"/>
              <w:rPr>
                <w:rFonts w:hint="eastAsia" w:ascii="宋体" w:hAnsi="宋体" w:eastAsia="宋体" w:cs="宋体"/>
                <w:sz w:val="24"/>
                <w:szCs w:val="24"/>
              </w:rPr>
            </w:pPr>
            <w:r>
              <w:rPr>
                <w:rFonts w:hint="eastAsia" w:ascii="宋体" w:hAnsi="宋体" w:eastAsia="宋体" w:cs="宋体"/>
                <w:sz w:val="24"/>
                <w:szCs w:val="24"/>
              </w:rPr>
              <w:t>1、生长茂盛，枝条茂密，密度适宜；</w:t>
            </w:r>
          </w:p>
          <w:p w14:paraId="4440ECEE">
            <w:pPr>
              <w:jc w:val="both"/>
              <w:rPr>
                <w:rFonts w:hint="eastAsia" w:ascii="宋体" w:hAnsi="宋体" w:eastAsia="宋体" w:cs="宋体"/>
                <w:sz w:val="24"/>
                <w:szCs w:val="24"/>
              </w:rPr>
            </w:pPr>
            <w:r>
              <w:rPr>
                <w:rFonts w:hint="eastAsia" w:ascii="宋体" w:hAnsi="宋体" w:eastAsia="宋体" w:cs="宋体"/>
                <w:sz w:val="24"/>
                <w:szCs w:val="24"/>
              </w:rPr>
              <w:t>2、生长季节修剪、追肥及时，修剪形态符 合景观观赏要求；</w:t>
            </w:r>
          </w:p>
          <w:p w14:paraId="647E6F18">
            <w:pPr>
              <w:jc w:val="both"/>
              <w:rPr>
                <w:rFonts w:hint="eastAsia" w:ascii="宋体" w:hAnsi="宋体" w:eastAsia="宋体" w:cs="宋体"/>
                <w:sz w:val="24"/>
                <w:szCs w:val="24"/>
              </w:rPr>
            </w:pPr>
            <w:r>
              <w:rPr>
                <w:rFonts w:hint="eastAsia" w:ascii="宋体" w:hAnsi="宋体" w:eastAsia="宋体" w:cs="宋体"/>
                <w:sz w:val="24"/>
                <w:szCs w:val="24"/>
              </w:rPr>
              <w:t>3、无人为践踏、断行缺株现象；</w:t>
            </w:r>
          </w:p>
          <w:p w14:paraId="75A9A428">
            <w:pPr>
              <w:jc w:val="both"/>
              <w:rPr>
                <w:rFonts w:hint="eastAsia" w:ascii="宋体" w:hAnsi="宋体" w:eastAsia="宋体" w:cs="宋体"/>
                <w:sz w:val="24"/>
                <w:szCs w:val="24"/>
              </w:rPr>
            </w:pPr>
            <w:r>
              <w:rPr>
                <w:rFonts w:hint="eastAsia" w:ascii="宋体" w:hAnsi="宋体" w:eastAsia="宋体" w:cs="宋体"/>
                <w:sz w:val="24"/>
                <w:szCs w:val="24"/>
              </w:rPr>
              <w:t>4、基本无病虫害危害。</w:t>
            </w:r>
          </w:p>
        </w:tc>
        <w:tc>
          <w:tcPr>
            <w:tcW w:w="4418" w:type="dxa"/>
            <w:vAlign w:val="center"/>
          </w:tcPr>
          <w:p w14:paraId="066CA881">
            <w:pPr>
              <w:jc w:val="both"/>
              <w:rPr>
                <w:rFonts w:hint="eastAsia" w:ascii="宋体" w:hAnsi="宋体" w:eastAsia="宋体" w:cs="宋体"/>
                <w:sz w:val="24"/>
                <w:szCs w:val="24"/>
              </w:rPr>
            </w:pPr>
            <w:r>
              <w:rPr>
                <w:rFonts w:hint="eastAsia" w:ascii="宋体" w:hAnsi="宋体" w:eastAsia="宋体" w:cs="宋体"/>
                <w:sz w:val="24"/>
                <w:szCs w:val="24"/>
              </w:rPr>
              <w:t>1、生长良好；</w:t>
            </w:r>
          </w:p>
          <w:p w14:paraId="4C397D52">
            <w:pPr>
              <w:jc w:val="both"/>
              <w:rPr>
                <w:rFonts w:hint="eastAsia" w:ascii="宋体" w:hAnsi="宋体" w:eastAsia="宋体" w:cs="宋体"/>
                <w:sz w:val="24"/>
                <w:szCs w:val="24"/>
              </w:rPr>
            </w:pPr>
            <w:r>
              <w:rPr>
                <w:rFonts w:hint="eastAsia" w:ascii="宋体" w:hAnsi="宋体" w:eastAsia="宋体" w:cs="宋体"/>
                <w:sz w:val="24"/>
                <w:szCs w:val="24"/>
              </w:rPr>
              <w:t>2、生长季节及时修剪、追肥，修剪形态符合生长要求；</w:t>
            </w:r>
          </w:p>
          <w:p w14:paraId="20E34432">
            <w:pPr>
              <w:jc w:val="both"/>
              <w:rPr>
                <w:rFonts w:hint="eastAsia" w:ascii="宋体" w:hAnsi="宋体" w:eastAsia="宋体" w:cs="宋体"/>
                <w:sz w:val="24"/>
                <w:szCs w:val="24"/>
              </w:rPr>
            </w:pPr>
            <w:r>
              <w:rPr>
                <w:rFonts w:hint="eastAsia" w:ascii="宋体" w:hAnsi="宋体" w:eastAsia="宋体" w:cs="宋体"/>
                <w:sz w:val="24"/>
                <w:szCs w:val="24"/>
              </w:rPr>
              <w:t>3、无人为践踏、断行缺株现象；</w:t>
            </w:r>
          </w:p>
          <w:p w14:paraId="031A85AE">
            <w:pPr>
              <w:jc w:val="both"/>
              <w:rPr>
                <w:rFonts w:hint="eastAsia" w:ascii="宋体" w:hAnsi="宋体" w:eastAsia="宋体" w:cs="宋体"/>
                <w:sz w:val="24"/>
                <w:szCs w:val="24"/>
              </w:rPr>
            </w:pPr>
            <w:r>
              <w:rPr>
                <w:rFonts w:hint="eastAsia" w:ascii="宋体" w:hAnsi="宋体" w:eastAsia="宋体" w:cs="宋体"/>
                <w:sz w:val="24"/>
                <w:szCs w:val="24"/>
              </w:rPr>
              <w:t>4、无明显病虫害危害。</w:t>
            </w:r>
          </w:p>
        </w:tc>
      </w:tr>
      <w:tr w14:paraId="4FED5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730" w:hRule="atLeast"/>
          <w:jc w:val="center"/>
        </w:trPr>
        <w:tc>
          <w:tcPr>
            <w:tcW w:w="857" w:type="dxa"/>
            <w:shd w:val="clear" w:color="auto" w:fill="auto"/>
            <w:vAlign w:val="center"/>
          </w:tcPr>
          <w:p w14:paraId="76F96A1C">
            <w:pPr>
              <w:jc w:val="center"/>
              <w:rPr>
                <w:rFonts w:hint="eastAsia" w:ascii="Times New Roman" w:hAnsi="Times New Roman" w:eastAsia="宋体" w:cs="Times New Roman"/>
                <w:sz w:val="24"/>
                <w:szCs w:val="24"/>
                <w:lang w:val="en-US" w:eastAsia="zh-CN" w:bidi="ar-SA"/>
              </w:rPr>
            </w:pPr>
            <w:r>
              <w:rPr>
                <w:rFonts w:hint="eastAsia"/>
                <w:sz w:val="24"/>
                <w:szCs w:val="24"/>
              </w:rPr>
              <w:t>3</w:t>
            </w:r>
          </w:p>
        </w:tc>
        <w:tc>
          <w:tcPr>
            <w:tcW w:w="871" w:type="dxa"/>
            <w:shd w:val="clear" w:color="auto" w:fill="auto"/>
            <w:vAlign w:val="center"/>
          </w:tcPr>
          <w:p w14:paraId="6EDFAF88">
            <w:pPr>
              <w:jc w:val="center"/>
              <w:rPr>
                <w:rFonts w:hint="eastAsia" w:ascii="Times New Roman" w:hAnsi="Times New Roman" w:eastAsia="宋体" w:cs="Times New Roman"/>
                <w:sz w:val="24"/>
                <w:szCs w:val="24"/>
                <w:lang w:val="en-US" w:eastAsia="zh-CN" w:bidi="ar-SA"/>
              </w:rPr>
            </w:pPr>
            <w:r>
              <w:rPr>
                <w:rFonts w:hint="eastAsia"/>
                <w:sz w:val="24"/>
                <w:szCs w:val="24"/>
              </w:rPr>
              <w:t>草坪</w:t>
            </w:r>
          </w:p>
        </w:tc>
        <w:tc>
          <w:tcPr>
            <w:tcW w:w="4381" w:type="dxa"/>
            <w:shd w:val="clear" w:color="auto" w:fill="auto"/>
            <w:vAlign w:val="center"/>
          </w:tcPr>
          <w:p w14:paraId="2AD82C01">
            <w:pPr>
              <w:jc w:val="both"/>
              <w:rPr>
                <w:rFonts w:hint="eastAsia"/>
                <w:sz w:val="24"/>
                <w:szCs w:val="24"/>
              </w:rPr>
            </w:pPr>
            <w:r>
              <w:rPr>
                <w:rFonts w:hint="eastAsia"/>
                <w:sz w:val="24"/>
                <w:szCs w:val="24"/>
              </w:rPr>
              <w:t>1、草坪生长茂盛，景观效果好；</w:t>
            </w:r>
          </w:p>
          <w:p w14:paraId="7051D66B">
            <w:pPr>
              <w:jc w:val="both"/>
              <w:rPr>
                <w:rFonts w:hint="eastAsia"/>
                <w:sz w:val="24"/>
                <w:szCs w:val="24"/>
              </w:rPr>
            </w:pPr>
            <w:r>
              <w:rPr>
                <w:rFonts w:hint="eastAsia"/>
                <w:sz w:val="24"/>
                <w:szCs w:val="24"/>
              </w:rPr>
              <w:t>2、修剪及时，修剪高度符合要求；</w:t>
            </w:r>
          </w:p>
          <w:p w14:paraId="692251F2">
            <w:pPr>
              <w:jc w:val="both"/>
              <w:rPr>
                <w:rFonts w:hint="eastAsia"/>
                <w:sz w:val="24"/>
                <w:szCs w:val="24"/>
              </w:rPr>
            </w:pPr>
            <w:r>
              <w:rPr>
                <w:rFonts w:hint="eastAsia"/>
                <w:sz w:val="24"/>
                <w:szCs w:val="24"/>
              </w:rPr>
              <w:t>3、草坪边缘线清晰（树穴、花坛交界处、其他植物间）；</w:t>
            </w:r>
          </w:p>
          <w:p w14:paraId="3E66A900">
            <w:pPr>
              <w:jc w:val="both"/>
              <w:rPr>
                <w:rFonts w:hint="eastAsia"/>
                <w:sz w:val="24"/>
                <w:szCs w:val="24"/>
              </w:rPr>
            </w:pPr>
            <w:r>
              <w:rPr>
                <w:rFonts w:hint="eastAsia"/>
                <w:sz w:val="24"/>
                <w:szCs w:val="24"/>
              </w:rPr>
              <w:t>4、基本无杂草，基本无病虫害危害现象；</w:t>
            </w:r>
          </w:p>
          <w:p w14:paraId="267C376C">
            <w:pPr>
              <w:jc w:val="both"/>
              <w:rPr>
                <w:rFonts w:hint="eastAsia"/>
                <w:sz w:val="24"/>
                <w:szCs w:val="24"/>
              </w:rPr>
            </w:pPr>
            <w:r>
              <w:rPr>
                <w:rFonts w:hint="eastAsia"/>
                <w:sz w:val="24"/>
                <w:szCs w:val="24"/>
              </w:rPr>
              <w:t>5、草坪集中空秃面积不超过 0.2 ㎡；</w:t>
            </w:r>
          </w:p>
          <w:p w14:paraId="1FDDE37B">
            <w:pPr>
              <w:jc w:val="both"/>
              <w:rPr>
                <w:rFonts w:hint="eastAsia" w:ascii="Times New Roman" w:hAnsi="Times New Roman" w:eastAsia="宋体" w:cs="Times New Roman"/>
                <w:sz w:val="24"/>
                <w:szCs w:val="24"/>
                <w:lang w:val="en-US" w:eastAsia="zh-CN" w:bidi="ar-SA"/>
              </w:rPr>
            </w:pPr>
            <w:r>
              <w:rPr>
                <w:rFonts w:hint="eastAsia"/>
                <w:sz w:val="24"/>
                <w:szCs w:val="24"/>
              </w:rPr>
              <w:t>6、绿地平整，无坑洼积水。</w:t>
            </w:r>
          </w:p>
        </w:tc>
        <w:tc>
          <w:tcPr>
            <w:tcW w:w="4418" w:type="dxa"/>
            <w:shd w:val="clear" w:color="auto" w:fill="auto"/>
            <w:vAlign w:val="center"/>
          </w:tcPr>
          <w:p w14:paraId="561BA86B">
            <w:pPr>
              <w:jc w:val="both"/>
              <w:rPr>
                <w:rFonts w:hint="eastAsia"/>
                <w:sz w:val="24"/>
                <w:szCs w:val="24"/>
              </w:rPr>
            </w:pPr>
            <w:r>
              <w:rPr>
                <w:rFonts w:hint="eastAsia"/>
                <w:sz w:val="24"/>
                <w:szCs w:val="24"/>
              </w:rPr>
              <w:t>1、草坪生长正常，无明显空秃，集中空秃面积不超过 0.5 ㎡；</w:t>
            </w:r>
          </w:p>
          <w:p w14:paraId="46537576">
            <w:pPr>
              <w:jc w:val="both"/>
              <w:rPr>
                <w:rFonts w:hint="eastAsia"/>
                <w:sz w:val="24"/>
                <w:szCs w:val="24"/>
              </w:rPr>
            </w:pPr>
            <w:r>
              <w:rPr>
                <w:rFonts w:hint="eastAsia"/>
                <w:sz w:val="24"/>
                <w:szCs w:val="24"/>
              </w:rPr>
              <w:t>2、修剪及时，高度符合要求；</w:t>
            </w:r>
          </w:p>
          <w:p w14:paraId="7F4E9E20">
            <w:pPr>
              <w:jc w:val="both"/>
              <w:rPr>
                <w:rFonts w:hint="eastAsia"/>
                <w:sz w:val="24"/>
                <w:szCs w:val="24"/>
              </w:rPr>
            </w:pPr>
            <w:r>
              <w:rPr>
                <w:rFonts w:hint="eastAsia"/>
                <w:sz w:val="24"/>
                <w:szCs w:val="24"/>
              </w:rPr>
              <w:t>3、无阔叶杂草、大型野草等，杂草控制高度在 5 ㎝ 以下；</w:t>
            </w:r>
          </w:p>
          <w:p w14:paraId="13BD04ED">
            <w:pPr>
              <w:jc w:val="both"/>
              <w:rPr>
                <w:rFonts w:hint="eastAsia"/>
                <w:sz w:val="24"/>
                <w:szCs w:val="24"/>
              </w:rPr>
            </w:pPr>
            <w:r>
              <w:rPr>
                <w:rFonts w:hint="eastAsia"/>
                <w:sz w:val="24"/>
                <w:szCs w:val="24"/>
              </w:rPr>
              <w:t>4、无明显病虫害危害迹象；</w:t>
            </w:r>
          </w:p>
          <w:p w14:paraId="6EB291FB">
            <w:pPr>
              <w:jc w:val="both"/>
              <w:rPr>
                <w:rFonts w:hint="eastAsia" w:ascii="Times New Roman" w:hAnsi="Times New Roman" w:eastAsia="宋体" w:cs="Times New Roman"/>
                <w:sz w:val="24"/>
                <w:szCs w:val="24"/>
                <w:lang w:val="en-US" w:eastAsia="zh-CN" w:bidi="ar-SA"/>
              </w:rPr>
            </w:pPr>
            <w:r>
              <w:rPr>
                <w:rFonts w:hint="eastAsia"/>
                <w:sz w:val="24"/>
                <w:szCs w:val="24"/>
              </w:rPr>
              <w:t>5、绿地平整，无大面积的坑洼积水现象。</w:t>
            </w:r>
          </w:p>
        </w:tc>
      </w:tr>
      <w:tr w14:paraId="35C61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147" w:hRule="atLeast"/>
          <w:jc w:val="center"/>
        </w:trPr>
        <w:tc>
          <w:tcPr>
            <w:tcW w:w="857" w:type="dxa"/>
            <w:shd w:val="clear" w:color="auto" w:fill="auto"/>
            <w:vAlign w:val="center"/>
          </w:tcPr>
          <w:p w14:paraId="0A443574">
            <w:pPr>
              <w:jc w:val="center"/>
              <w:rPr>
                <w:rFonts w:hint="eastAsia" w:ascii="Times New Roman" w:hAnsi="Times New Roman" w:eastAsia="宋体" w:cs="Times New Roman"/>
                <w:sz w:val="24"/>
                <w:szCs w:val="24"/>
                <w:lang w:val="en-US" w:eastAsia="zh-CN" w:bidi="ar-SA"/>
              </w:rPr>
            </w:pPr>
            <w:r>
              <w:rPr>
                <w:rFonts w:hint="eastAsia"/>
                <w:sz w:val="24"/>
                <w:szCs w:val="24"/>
              </w:rPr>
              <w:t>4</w:t>
            </w:r>
          </w:p>
        </w:tc>
        <w:tc>
          <w:tcPr>
            <w:tcW w:w="871" w:type="dxa"/>
            <w:shd w:val="clear" w:color="auto" w:fill="auto"/>
            <w:vAlign w:val="center"/>
          </w:tcPr>
          <w:p w14:paraId="08BE4E36">
            <w:pPr>
              <w:jc w:val="center"/>
              <w:rPr>
                <w:rFonts w:hint="eastAsia" w:ascii="Times New Roman" w:hAnsi="Times New Roman" w:eastAsia="宋体" w:cs="Times New Roman"/>
                <w:sz w:val="24"/>
                <w:szCs w:val="24"/>
                <w:lang w:val="en-US" w:eastAsia="zh-CN" w:bidi="ar-SA"/>
              </w:rPr>
            </w:pPr>
            <w:r>
              <w:rPr>
                <w:rFonts w:hint="eastAsia"/>
                <w:sz w:val="24"/>
                <w:szCs w:val="24"/>
              </w:rPr>
              <w:t>水体</w:t>
            </w:r>
          </w:p>
        </w:tc>
        <w:tc>
          <w:tcPr>
            <w:tcW w:w="4381" w:type="dxa"/>
            <w:shd w:val="clear" w:color="auto" w:fill="auto"/>
            <w:vAlign w:val="center"/>
          </w:tcPr>
          <w:p w14:paraId="2599681C">
            <w:pPr>
              <w:jc w:val="both"/>
              <w:rPr>
                <w:rFonts w:hint="eastAsia"/>
                <w:sz w:val="24"/>
                <w:szCs w:val="24"/>
              </w:rPr>
            </w:pPr>
            <w:r>
              <w:rPr>
                <w:rFonts w:hint="eastAsia"/>
                <w:sz w:val="24"/>
                <w:szCs w:val="24"/>
              </w:rPr>
              <w:t>1、水面无漂浮物，河内水草清理及时；</w:t>
            </w:r>
          </w:p>
          <w:p w14:paraId="3BB719FC">
            <w:pPr>
              <w:jc w:val="both"/>
              <w:rPr>
                <w:rFonts w:hint="eastAsia"/>
                <w:sz w:val="24"/>
                <w:szCs w:val="24"/>
              </w:rPr>
            </w:pPr>
            <w:r>
              <w:rPr>
                <w:rFonts w:hint="eastAsia"/>
                <w:sz w:val="24"/>
                <w:szCs w:val="24"/>
              </w:rPr>
              <w:t>2、水生植物生长健壮，观赏期长，秋冬季按要求收割及时；</w:t>
            </w:r>
          </w:p>
          <w:p w14:paraId="05661F16">
            <w:pPr>
              <w:jc w:val="both"/>
              <w:rPr>
                <w:rFonts w:hint="eastAsia" w:ascii="Times New Roman" w:hAnsi="Times New Roman" w:eastAsia="宋体" w:cs="Times New Roman"/>
                <w:sz w:val="24"/>
                <w:szCs w:val="24"/>
                <w:lang w:val="en-US" w:eastAsia="zh-CN" w:bidi="ar-SA"/>
              </w:rPr>
            </w:pPr>
            <w:r>
              <w:rPr>
                <w:rFonts w:hint="eastAsia"/>
                <w:sz w:val="24"/>
                <w:szCs w:val="24"/>
              </w:rPr>
              <w:t>3、无游泳现象；</w:t>
            </w:r>
          </w:p>
        </w:tc>
        <w:tc>
          <w:tcPr>
            <w:tcW w:w="4418" w:type="dxa"/>
            <w:shd w:val="clear" w:color="auto" w:fill="auto"/>
            <w:vAlign w:val="center"/>
          </w:tcPr>
          <w:p w14:paraId="6F7954F1">
            <w:pPr>
              <w:jc w:val="both"/>
              <w:rPr>
                <w:rFonts w:hint="eastAsia"/>
                <w:sz w:val="24"/>
                <w:szCs w:val="24"/>
              </w:rPr>
            </w:pPr>
            <w:r>
              <w:rPr>
                <w:rFonts w:hint="eastAsia"/>
                <w:sz w:val="24"/>
                <w:szCs w:val="24"/>
              </w:rPr>
              <w:t>1、水面无漂浮物，河内水草清理及时；</w:t>
            </w:r>
          </w:p>
          <w:p w14:paraId="3A727565">
            <w:pPr>
              <w:jc w:val="both"/>
              <w:rPr>
                <w:rFonts w:hint="eastAsia"/>
                <w:sz w:val="24"/>
                <w:szCs w:val="24"/>
              </w:rPr>
            </w:pPr>
            <w:r>
              <w:rPr>
                <w:rFonts w:hint="eastAsia"/>
                <w:sz w:val="24"/>
                <w:szCs w:val="24"/>
              </w:rPr>
              <w:t>2、水生植物生长良好，保持正常形态特征，无明显有害生物  危害；秋冬季按要求收割及时；</w:t>
            </w:r>
          </w:p>
          <w:p w14:paraId="04E3F956">
            <w:pPr>
              <w:jc w:val="both"/>
              <w:rPr>
                <w:rFonts w:hint="eastAsia" w:ascii="Times New Roman" w:hAnsi="Times New Roman" w:eastAsia="宋体" w:cs="Times New Roman"/>
                <w:sz w:val="24"/>
                <w:szCs w:val="24"/>
                <w:lang w:val="en-US" w:eastAsia="zh-CN" w:bidi="ar-SA"/>
              </w:rPr>
            </w:pPr>
            <w:r>
              <w:rPr>
                <w:rFonts w:hint="eastAsia"/>
                <w:sz w:val="24"/>
                <w:szCs w:val="24"/>
              </w:rPr>
              <w:t>3、无游泳现象；</w:t>
            </w:r>
          </w:p>
        </w:tc>
      </w:tr>
      <w:tr w14:paraId="71D13D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730" w:hRule="atLeast"/>
          <w:jc w:val="center"/>
        </w:trPr>
        <w:tc>
          <w:tcPr>
            <w:tcW w:w="857" w:type="dxa"/>
            <w:shd w:val="clear" w:color="auto" w:fill="auto"/>
            <w:vAlign w:val="center"/>
          </w:tcPr>
          <w:p w14:paraId="2D09D9FA">
            <w:pPr>
              <w:jc w:val="center"/>
              <w:rPr>
                <w:rFonts w:hint="eastAsia" w:ascii="Times New Roman" w:hAnsi="Times New Roman" w:eastAsia="宋体" w:cs="Times New Roman"/>
                <w:sz w:val="24"/>
                <w:szCs w:val="24"/>
                <w:lang w:val="en-US" w:eastAsia="zh-CN" w:bidi="ar-SA"/>
              </w:rPr>
            </w:pPr>
            <w:r>
              <w:rPr>
                <w:rFonts w:hint="eastAsia"/>
                <w:sz w:val="24"/>
                <w:szCs w:val="24"/>
                <w:lang w:val="en-US" w:eastAsia="zh-CN"/>
              </w:rPr>
              <w:t>5</w:t>
            </w:r>
          </w:p>
        </w:tc>
        <w:tc>
          <w:tcPr>
            <w:tcW w:w="871" w:type="dxa"/>
            <w:shd w:val="clear" w:color="auto" w:fill="auto"/>
            <w:vAlign w:val="center"/>
          </w:tcPr>
          <w:p w14:paraId="3BC4CE16">
            <w:pPr>
              <w:jc w:val="center"/>
              <w:rPr>
                <w:rFonts w:hint="eastAsia" w:ascii="Times New Roman" w:hAnsi="Times New Roman" w:eastAsia="宋体" w:cs="Times New Roman"/>
                <w:sz w:val="24"/>
                <w:szCs w:val="24"/>
                <w:lang w:val="en-US" w:eastAsia="zh-CN" w:bidi="ar-SA"/>
              </w:rPr>
            </w:pPr>
            <w:r>
              <w:rPr>
                <w:rFonts w:hint="eastAsia"/>
                <w:sz w:val="24"/>
                <w:szCs w:val="24"/>
              </w:rPr>
              <w:t>园林设施维护</w:t>
            </w:r>
          </w:p>
        </w:tc>
        <w:tc>
          <w:tcPr>
            <w:tcW w:w="4381" w:type="dxa"/>
            <w:shd w:val="clear" w:color="auto" w:fill="auto"/>
            <w:vAlign w:val="center"/>
          </w:tcPr>
          <w:p w14:paraId="6E806265">
            <w:pPr>
              <w:jc w:val="both"/>
              <w:rPr>
                <w:rFonts w:hint="eastAsia"/>
                <w:sz w:val="24"/>
                <w:szCs w:val="24"/>
              </w:rPr>
            </w:pPr>
            <w:r>
              <w:rPr>
                <w:rFonts w:hint="eastAsia"/>
                <w:sz w:val="24"/>
                <w:szCs w:val="24"/>
              </w:rPr>
              <w:t>1、园林建构筑物、小品及各类便民设施保持完好，无安全隐患、无破损现象，无乱涂写、乱张贴、乱涂刻现象；</w:t>
            </w:r>
          </w:p>
          <w:p w14:paraId="44607461">
            <w:pPr>
              <w:jc w:val="both"/>
              <w:rPr>
                <w:rFonts w:hint="eastAsia"/>
                <w:sz w:val="24"/>
                <w:szCs w:val="24"/>
              </w:rPr>
            </w:pPr>
            <w:r>
              <w:rPr>
                <w:rFonts w:hint="eastAsia"/>
                <w:sz w:val="24"/>
                <w:szCs w:val="24"/>
              </w:rPr>
              <w:t>2、设施损坏后修复及时；</w:t>
            </w:r>
          </w:p>
          <w:p w14:paraId="6A95F88B">
            <w:pPr>
              <w:jc w:val="both"/>
              <w:rPr>
                <w:rFonts w:hint="eastAsia"/>
                <w:sz w:val="24"/>
                <w:szCs w:val="24"/>
              </w:rPr>
            </w:pPr>
            <w:r>
              <w:rPr>
                <w:rFonts w:hint="eastAsia"/>
                <w:sz w:val="24"/>
                <w:szCs w:val="24"/>
              </w:rPr>
              <w:t>3、园路、铺装平整，无破损、无积水现象；</w:t>
            </w:r>
          </w:p>
          <w:p w14:paraId="70A89431">
            <w:pPr>
              <w:jc w:val="both"/>
              <w:rPr>
                <w:rFonts w:hint="eastAsia" w:ascii="Times New Roman" w:hAnsi="Times New Roman" w:eastAsia="宋体" w:cs="Times New Roman"/>
                <w:sz w:val="24"/>
                <w:szCs w:val="24"/>
                <w:lang w:val="en-US" w:eastAsia="zh-CN" w:bidi="ar-SA"/>
              </w:rPr>
            </w:pPr>
            <w:r>
              <w:rPr>
                <w:rFonts w:hint="eastAsia"/>
                <w:sz w:val="24"/>
                <w:szCs w:val="24"/>
              </w:rPr>
              <w:t>4、树木支撑桩位扎缚规范、有效。</w:t>
            </w:r>
          </w:p>
        </w:tc>
        <w:tc>
          <w:tcPr>
            <w:tcW w:w="4418" w:type="dxa"/>
            <w:shd w:val="clear" w:color="auto" w:fill="auto"/>
            <w:vAlign w:val="center"/>
          </w:tcPr>
          <w:p w14:paraId="34C62CA2">
            <w:pPr>
              <w:jc w:val="both"/>
              <w:rPr>
                <w:rFonts w:hint="eastAsia"/>
                <w:sz w:val="24"/>
                <w:szCs w:val="24"/>
              </w:rPr>
            </w:pPr>
            <w:r>
              <w:rPr>
                <w:rFonts w:hint="eastAsia"/>
                <w:sz w:val="24"/>
                <w:szCs w:val="24"/>
              </w:rPr>
              <w:t>1、园林设施基本完好，无安全隐患、无乱涂写、乱张贴、乱涂刻现象；有问题及时处理并上报；</w:t>
            </w:r>
          </w:p>
          <w:p w14:paraId="216738F0">
            <w:pPr>
              <w:jc w:val="both"/>
              <w:rPr>
                <w:rFonts w:hint="eastAsia"/>
                <w:sz w:val="24"/>
                <w:szCs w:val="24"/>
              </w:rPr>
            </w:pPr>
            <w:r>
              <w:rPr>
                <w:rFonts w:hint="eastAsia"/>
                <w:sz w:val="24"/>
                <w:szCs w:val="24"/>
              </w:rPr>
              <w:t>2、园路、铺装无积水现象；</w:t>
            </w:r>
          </w:p>
          <w:p w14:paraId="24BCEAC1">
            <w:pPr>
              <w:jc w:val="both"/>
              <w:rPr>
                <w:rFonts w:hint="eastAsia" w:ascii="Times New Roman" w:hAnsi="Times New Roman" w:eastAsia="宋体" w:cs="Times New Roman"/>
                <w:sz w:val="24"/>
                <w:szCs w:val="24"/>
                <w:lang w:val="en-US" w:eastAsia="zh-CN" w:bidi="ar-SA"/>
              </w:rPr>
            </w:pPr>
            <w:r>
              <w:rPr>
                <w:rFonts w:hint="eastAsia"/>
                <w:sz w:val="24"/>
                <w:szCs w:val="24"/>
              </w:rPr>
              <w:t>3、树木支撑桩位扎缚规范、有效。</w:t>
            </w:r>
          </w:p>
        </w:tc>
      </w:tr>
      <w:tr w14:paraId="39252F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730" w:hRule="atLeast"/>
          <w:jc w:val="center"/>
        </w:trPr>
        <w:tc>
          <w:tcPr>
            <w:tcW w:w="857" w:type="dxa"/>
            <w:shd w:val="clear" w:color="auto" w:fill="auto"/>
            <w:vAlign w:val="center"/>
          </w:tcPr>
          <w:p w14:paraId="4F27D412">
            <w:pPr>
              <w:jc w:val="center"/>
              <w:rPr>
                <w:rFonts w:hint="eastAsia" w:ascii="Times New Roman" w:hAnsi="Times New Roman" w:eastAsia="宋体" w:cs="Times New Roman"/>
                <w:sz w:val="24"/>
                <w:szCs w:val="24"/>
                <w:lang w:val="en-US" w:eastAsia="zh-CN" w:bidi="ar-SA"/>
              </w:rPr>
            </w:pPr>
            <w:r>
              <w:rPr>
                <w:rFonts w:hint="eastAsia"/>
                <w:sz w:val="24"/>
                <w:szCs w:val="24"/>
              </w:rPr>
              <w:t>6</w:t>
            </w:r>
          </w:p>
        </w:tc>
        <w:tc>
          <w:tcPr>
            <w:tcW w:w="871" w:type="dxa"/>
            <w:shd w:val="clear" w:color="auto" w:fill="auto"/>
            <w:vAlign w:val="center"/>
          </w:tcPr>
          <w:p w14:paraId="1E315005">
            <w:pPr>
              <w:jc w:val="center"/>
              <w:rPr>
                <w:rFonts w:hint="eastAsia" w:ascii="Times New Roman" w:hAnsi="Times New Roman" w:eastAsia="宋体" w:cs="Times New Roman"/>
                <w:sz w:val="24"/>
                <w:szCs w:val="24"/>
                <w:lang w:val="en-US" w:eastAsia="zh-CN" w:bidi="ar-SA"/>
              </w:rPr>
            </w:pPr>
            <w:r>
              <w:rPr>
                <w:rFonts w:hint="eastAsia"/>
                <w:sz w:val="24"/>
                <w:szCs w:val="24"/>
              </w:rPr>
              <w:t>卫生保洁</w:t>
            </w:r>
          </w:p>
        </w:tc>
        <w:tc>
          <w:tcPr>
            <w:tcW w:w="4381" w:type="dxa"/>
            <w:shd w:val="clear" w:color="auto" w:fill="auto"/>
            <w:vAlign w:val="center"/>
          </w:tcPr>
          <w:p w14:paraId="5BA80C02">
            <w:pPr>
              <w:jc w:val="both"/>
              <w:rPr>
                <w:rFonts w:hint="eastAsia"/>
                <w:sz w:val="24"/>
                <w:szCs w:val="24"/>
              </w:rPr>
            </w:pPr>
            <w:r>
              <w:rPr>
                <w:rFonts w:hint="eastAsia"/>
                <w:sz w:val="24"/>
                <w:szCs w:val="24"/>
              </w:rPr>
              <w:t>1、绿地各类便民设施整洁，无陈旧积尘；</w:t>
            </w:r>
          </w:p>
          <w:p w14:paraId="636469DB">
            <w:pPr>
              <w:jc w:val="both"/>
              <w:rPr>
                <w:rFonts w:hint="eastAsia"/>
                <w:sz w:val="24"/>
                <w:szCs w:val="24"/>
              </w:rPr>
            </w:pPr>
            <w:r>
              <w:rPr>
                <w:rFonts w:hint="eastAsia"/>
                <w:sz w:val="24"/>
                <w:szCs w:val="24"/>
              </w:rPr>
              <w:t>2、绿地整洁，无枯枝落叶，无杂物、无白色垃圾（树挂）、无建筑垃圾，垃圾日产日清。</w:t>
            </w:r>
          </w:p>
          <w:p w14:paraId="643D732E">
            <w:pPr>
              <w:jc w:val="both"/>
              <w:rPr>
                <w:rFonts w:hint="eastAsia"/>
                <w:sz w:val="24"/>
                <w:szCs w:val="24"/>
              </w:rPr>
            </w:pPr>
            <w:r>
              <w:rPr>
                <w:rFonts w:hint="eastAsia"/>
                <w:sz w:val="24"/>
                <w:szCs w:val="24"/>
              </w:rPr>
              <w:t>3、作业废弃物（如树枝、树叶、草屑等）、水面杂物，日产日清。</w:t>
            </w:r>
          </w:p>
          <w:p w14:paraId="643CE35F">
            <w:pPr>
              <w:jc w:val="both"/>
              <w:rPr>
                <w:rFonts w:hint="eastAsia" w:ascii="Times New Roman" w:hAnsi="Times New Roman" w:eastAsia="宋体" w:cs="Times New Roman"/>
                <w:sz w:val="24"/>
                <w:szCs w:val="24"/>
                <w:lang w:val="en-US" w:eastAsia="zh-CN" w:bidi="ar-SA"/>
              </w:rPr>
            </w:pPr>
            <w:r>
              <w:rPr>
                <w:rFonts w:hint="eastAsia"/>
                <w:sz w:val="24"/>
                <w:szCs w:val="24"/>
              </w:rPr>
              <w:t>4、无卫生死角。</w:t>
            </w:r>
          </w:p>
        </w:tc>
        <w:tc>
          <w:tcPr>
            <w:tcW w:w="4418" w:type="dxa"/>
            <w:shd w:val="clear" w:color="auto" w:fill="auto"/>
            <w:vAlign w:val="center"/>
          </w:tcPr>
          <w:p w14:paraId="25D68723">
            <w:pPr>
              <w:jc w:val="both"/>
              <w:rPr>
                <w:rFonts w:hint="eastAsia"/>
                <w:sz w:val="24"/>
                <w:szCs w:val="24"/>
              </w:rPr>
            </w:pPr>
            <w:r>
              <w:rPr>
                <w:rFonts w:hint="eastAsia"/>
                <w:sz w:val="24"/>
                <w:szCs w:val="24"/>
              </w:rPr>
              <w:t>1、绿地基本整洁，无枯枝落叶，无明显杂物、无白色垃圾、无建筑垃圾。</w:t>
            </w:r>
          </w:p>
          <w:p w14:paraId="119FC9A5">
            <w:pPr>
              <w:jc w:val="both"/>
              <w:rPr>
                <w:rFonts w:hint="eastAsia"/>
                <w:sz w:val="24"/>
                <w:szCs w:val="24"/>
              </w:rPr>
            </w:pPr>
            <w:r>
              <w:rPr>
                <w:rFonts w:hint="eastAsia"/>
                <w:sz w:val="24"/>
                <w:szCs w:val="24"/>
              </w:rPr>
              <w:t>2、作业废弃物（如树枝、树叶、草屑等）、绿地内水面杂物，日产日清。</w:t>
            </w:r>
          </w:p>
          <w:p w14:paraId="047E5BAE">
            <w:pPr>
              <w:jc w:val="both"/>
              <w:rPr>
                <w:rFonts w:hint="eastAsia" w:ascii="Times New Roman" w:hAnsi="Times New Roman" w:eastAsia="宋体" w:cs="Times New Roman"/>
                <w:sz w:val="24"/>
                <w:szCs w:val="24"/>
                <w:lang w:val="en-US" w:eastAsia="zh-CN" w:bidi="ar-SA"/>
              </w:rPr>
            </w:pPr>
            <w:r>
              <w:rPr>
                <w:rFonts w:hint="eastAsia"/>
                <w:sz w:val="24"/>
                <w:szCs w:val="24"/>
              </w:rPr>
              <w:t>3、无卫生死角。</w:t>
            </w:r>
          </w:p>
        </w:tc>
      </w:tr>
      <w:tr w14:paraId="7EEEC9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730" w:hRule="atLeast"/>
          <w:jc w:val="center"/>
        </w:trPr>
        <w:tc>
          <w:tcPr>
            <w:tcW w:w="857" w:type="dxa"/>
            <w:shd w:val="clear" w:color="auto" w:fill="auto"/>
            <w:vAlign w:val="center"/>
          </w:tcPr>
          <w:p w14:paraId="46392BB6">
            <w:pPr>
              <w:jc w:val="center"/>
              <w:rPr>
                <w:rFonts w:hint="eastAsia" w:ascii="Times New Roman" w:hAnsi="Times New Roman" w:eastAsia="宋体" w:cs="Times New Roman"/>
                <w:sz w:val="24"/>
                <w:szCs w:val="24"/>
                <w:lang w:val="en-US" w:eastAsia="zh-CN" w:bidi="ar-SA"/>
              </w:rPr>
            </w:pPr>
            <w:r>
              <w:rPr>
                <w:sz w:val="24"/>
                <w:szCs w:val="24"/>
              </w:rPr>
              <w:t>7</w:t>
            </w:r>
          </w:p>
        </w:tc>
        <w:tc>
          <w:tcPr>
            <w:tcW w:w="871" w:type="dxa"/>
            <w:shd w:val="clear" w:color="auto" w:fill="auto"/>
            <w:vAlign w:val="center"/>
          </w:tcPr>
          <w:p w14:paraId="2FB10C74">
            <w:pPr>
              <w:jc w:val="center"/>
              <w:rPr>
                <w:rFonts w:hint="eastAsia" w:ascii="Times New Roman" w:hAnsi="Times New Roman" w:eastAsia="宋体" w:cs="Times New Roman"/>
                <w:sz w:val="24"/>
                <w:szCs w:val="24"/>
                <w:lang w:val="en-US" w:eastAsia="zh-CN" w:bidi="ar-SA"/>
              </w:rPr>
            </w:pPr>
            <w:r>
              <w:rPr>
                <w:sz w:val="24"/>
                <w:szCs w:val="24"/>
              </w:rPr>
              <w:t>绿地秩序</w:t>
            </w:r>
          </w:p>
        </w:tc>
        <w:tc>
          <w:tcPr>
            <w:tcW w:w="4381" w:type="dxa"/>
            <w:shd w:val="clear" w:color="auto" w:fill="auto"/>
            <w:vAlign w:val="center"/>
          </w:tcPr>
          <w:p w14:paraId="0DC27900">
            <w:pPr>
              <w:jc w:val="both"/>
              <w:rPr>
                <w:sz w:val="24"/>
                <w:szCs w:val="24"/>
              </w:rPr>
            </w:pPr>
            <w:r>
              <w:rPr>
                <w:sz w:val="24"/>
                <w:szCs w:val="24"/>
              </w:rPr>
              <w:t>1、无侵占毁绿行为和现象；</w:t>
            </w:r>
          </w:p>
          <w:p w14:paraId="27B78903">
            <w:pPr>
              <w:jc w:val="both"/>
              <w:rPr>
                <w:sz w:val="24"/>
                <w:szCs w:val="24"/>
              </w:rPr>
            </w:pPr>
            <w:r>
              <w:rPr>
                <w:sz w:val="24"/>
                <w:szCs w:val="24"/>
              </w:rPr>
              <w:t>2、秩序良好，无乱堆乱放、晾晒衣物、无 乱设摊和车辆乱停放现象；</w:t>
            </w:r>
          </w:p>
          <w:p w14:paraId="00E335B4">
            <w:pPr>
              <w:jc w:val="both"/>
              <w:rPr>
                <w:sz w:val="24"/>
                <w:szCs w:val="24"/>
              </w:rPr>
            </w:pPr>
            <w:r>
              <w:rPr>
                <w:sz w:val="24"/>
                <w:szCs w:val="24"/>
              </w:rPr>
              <w:t>3、对被破坏或其他原因引起的绿地损坏及 时上报；</w:t>
            </w:r>
          </w:p>
          <w:p w14:paraId="10C156A9">
            <w:pPr>
              <w:jc w:val="both"/>
              <w:rPr>
                <w:rFonts w:hint="eastAsia" w:ascii="Times New Roman" w:hAnsi="Times New Roman" w:eastAsia="宋体" w:cs="Times New Roman"/>
                <w:sz w:val="24"/>
                <w:szCs w:val="24"/>
                <w:lang w:val="en-US" w:eastAsia="zh-CN" w:bidi="ar-SA"/>
              </w:rPr>
            </w:pPr>
            <w:r>
              <w:rPr>
                <w:sz w:val="24"/>
                <w:szCs w:val="24"/>
              </w:rPr>
              <w:t>4、及时清运各种垃圾杂物等，严禁现场焚 烧。</w:t>
            </w:r>
          </w:p>
        </w:tc>
        <w:tc>
          <w:tcPr>
            <w:tcW w:w="4418" w:type="dxa"/>
            <w:shd w:val="clear" w:color="auto" w:fill="auto"/>
            <w:vAlign w:val="center"/>
          </w:tcPr>
          <w:p w14:paraId="4824DA04">
            <w:pPr>
              <w:jc w:val="both"/>
              <w:rPr>
                <w:sz w:val="24"/>
                <w:szCs w:val="24"/>
              </w:rPr>
            </w:pPr>
            <w:r>
              <w:rPr>
                <w:sz w:val="24"/>
                <w:szCs w:val="24"/>
              </w:rPr>
              <w:t>1、无侵占毁绿行为和现象；</w:t>
            </w:r>
          </w:p>
          <w:p w14:paraId="29E98934">
            <w:pPr>
              <w:jc w:val="both"/>
              <w:rPr>
                <w:sz w:val="24"/>
                <w:szCs w:val="24"/>
              </w:rPr>
            </w:pPr>
            <w:r>
              <w:rPr>
                <w:sz w:val="24"/>
                <w:szCs w:val="24"/>
              </w:rPr>
              <w:t>2、秩序良好，无乱堆乱放、晾晒衣物、无乱设摊和车辆乱停 放现象；</w:t>
            </w:r>
          </w:p>
          <w:p w14:paraId="6650964D">
            <w:pPr>
              <w:jc w:val="both"/>
              <w:rPr>
                <w:sz w:val="24"/>
                <w:szCs w:val="24"/>
              </w:rPr>
            </w:pPr>
            <w:r>
              <w:rPr>
                <w:sz w:val="24"/>
                <w:szCs w:val="24"/>
              </w:rPr>
              <w:t>3、对被破坏或其他原因引起的绿地损坏及时上报；</w:t>
            </w:r>
          </w:p>
          <w:p w14:paraId="28757D7A">
            <w:pPr>
              <w:jc w:val="both"/>
              <w:rPr>
                <w:rFonts w:hint="eastAsia" w:ascii="Times New Roman" w:hAnsi="Times New Roman" w:eastAsia="宋体" w:cs="Times New Roman"/>
                <w:sz w:val="24"/>
                <w:szCs w:val="24"/>
                <w:lang w:val="en-US" w:eastAsia="zh-CN" w:bidi="ar-SA"/>
              </w:rPr>
            </w:pPr>
            <w:r>
              <w:rPr>
                <w:sz w:val="24"/>
                <w:szCs w:val="24"/>
              </w:rPr>
              <w:t>4、及时清运各种垃圾杂物等，严禁现场焚烧。</w:t>
            </w:r>
          </w:p>
        </w:tc>
      </w:tr>
      <w:tr w14:paraId="6AF61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967" w:hRule="atLeast"/>
          <w:jc w:val="center"/>
        </w:trPr>
        <w:tc>
          <w:tcPr>
            <w:tcW w:w="857" w:type="dxa"/>
            <w:shd w:val="clear" w:color="auto" w:fill="auto"/>
            <w:vAlign w:val="center"/>
          </w:tcPr>
          <w:p w14:paraId="24CB96D1">
            <w:pPr>
              <w:jc w:val="center"/>
              <w:rPr>
                <w:rFonts w:hint="default" w:ascii="Times New Roman" w:hAnsi="Times New Roman" w:eastAsia="宋体" w:cs="Times New Roman"/>
                <w:sz w:val="24"/>
                <w:szCs w:val="24"/>
                <w:lang w:val="en-US" w:eastAsia="zh-CN" w:bidi="ar-SA"/>
              </w:rPr>
            </w:pPr>
            <w:r>
              <w:rPr>
                <w:sz w:val="24"/>
                <w:szCs w:val="24"/>
              </w:rPr>
              <w:t>8</w:t>
            </w:r>
          </w:p>
        </w:tc>
        <w:tc>
          <w:tcPr>
            <w:tcW w:w="871" w:type="dxa"/>
            <w:shd w:val="clear" w:color="auto" w:fill="auto"/>
            <w:vAlign w:val="center"/>
          </w:tcPr>
          <w:p w14:paraId="7D5EEB75">
            <w:pPr>
              <w:jc w:val="center"/>
              <w:rPr>
                <w:rFonts w:hint="default" w:ascii="Times New Roman" w:hAnsi="Times New Roman" w:eastAsia="宋体" w:cs="Times New Roman"/>
                <w:sz w:val="24"/>
                <w:szCs w:val="24"/>
                <w:lang w:val="en-US" w:eastAsia="zh-CN" w:bidi="ar-SA"/>
              </w:rPr>
            </w:pPr>
            <w:r>
              <w:rPr>
                <w:sz w:val="24"/>
                <w:szCs w:val="24"/>
              </w:rPr>
              <w:t>人员要求</w:t>
            </w:r>
          </w:p>
        </w:tc>
        <w:tc>
          <w:tcPr>
            <w:tcW w:w="4381" w:type="dxa"/>
            <w:shd w:val="clear" w:color="auto" w:fill="auto"/>
            <w:vAlign w:val="center"/>
          </w:tcPr>
          <w:p w14:paraId="4AB9EAE1">
            <w:pPr>
              <w:jc w:val="both"/>
              <w:rPr>
                <w:sz w:val="24"/>
                <w:szCs w:val="24"/>
              </w:rPr>
            </w:pPr>
            <w:r>
              <w:rPr>
                <w:sz w:val="24"/>
                <w:szCs w:val="24"/>
              </w:rPr>
              <w:t>1、上岗人员年龄、数量附合规定；</w:t>
            </w:r>
          </w:p>
          <w:p w14:paraId="05B3C9D0">
            <w:pPr>
              <w:jc w:val="both"/>
              <w:rPr>
                <w:rFonts w:hint="default" w:ascii="Times New Roman" w:hAnsi="Times New Roman" w:eastAsia="宋体" w:cs="Times New Roman"/>
                <w:sz w:val="24"/>
                <w:szCs w:val="24"/>
                <w:lang w:val="en-US" w:eastAsia="zh-CN" w:bidi="ar-SA"/>
              </w:rPr>
            </w:pPr>
            <w:r>
              <w:rPr>
                <w:sz w:val="24"/>
                <w:szCs w:val="24"/>
              </w:rPr>
              <w:t>2、在岗人员统一着装，穿戴整齐，安全、规范、文明作业。</w:t>
            </w:r>
          </w:p>
        </w:tc>
        <w:tc>
          <w:tcPr>
            <w:tcW w:w="4418" w:type="dxa"/>
            <w:shd w:val="clear" w:color="auto" w:fill="auto"/>
            <w:vAlign w:val="center"/>
          </w:tcPr>
          <w:p w14:paraId="5AEB7E2A">
            <w:pPr>
              <w:jc w:val="both"/>
              <w:rPr>
                <w:sz w:val="24"/>
                <w:szCs w:val="24"/>
              </w:rPr>
            </w:pPr>
            <w:r>
              <w:rPr>
                <w:sz w:val="24"/>
                <w:szCs w:val="24"/>
              </w:rPr>
              <w:t>1、上岗人员年龄、数量附合规定；</w:t>
            </w:r>
          </w:p>
          <w:p w14:paraId="7993BC46">
            <w:pPr>
              <w:jc w:val="both"/>
              <w:rPr>
                <w:rFonts w:hint="default" w:ascii="Times New Roman" w:hAnsi="Times New Roman" w:eastAsia="宋体" w:cs="Times New Roman"/>
                <w:sz w:val="24"/>
                <w:szCs w:val="24"/>
                <w:lang w:val="en-US" w:eastAsia="zh-CN" w:bidi="ar-SA"/>
              </w:rPr>
            </w:pPr>
            <w:r>
              <w:rPr>
                <w:sz w:val="24"/>
                <w:szCs w:val="24"/>
              </w:rPr>
              <w:t>2、在岗人员统一着装，穿戴整齐，安全、规范、文明作业。</w:t>
            </w:r>
          </w:p>
        </w:tc>
      </w:tr>
      <w:tr w14:paraId="7242F2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730" w:hRule="atLeast"/>
          <w:jc w:val="center"/>
        </w:trPr>
        <w:tc>
          <w:tcPr>
            <w:tcW w:w="857" w:type="dxa"/>
            <w:shd w:val="clear" w:color="auto" w:fill="auto"/>
            <w:vAlign w:val="center"/>
          </w:tcPr>
          <w:p w14:paraId="33F0F726">
            <w:pPr>
              <w:jc w:val="center"/>
              <w:rPr>
                <w:rFonts w:hint="default" w:ascii="Times New Roman" w:hAnsi="Times New Roman" w:eastAsia="宋体" w:cs="Times New Roman"/>
                <w:sz w:val="24"/>
                <w:szCs w:val="24"/>
                <w:lang w:val="en-US" w:eastAsia="zh-CN" w:bidi="ar-SA"/>
              </w:rPr>
            </w:pPr>
            <w:r>
              <w:rPr>
                <w:sz w:val="24"/>
                <w:szCs w:val="24"/>
              </w:rPr>
              <w:t>9</w:t>
            </w:r>
          </w:p>
        </w:tc>
        <w:tc>
          <w:tcPr>
            <w:tcW w:w="871" w:type="dxa"/>
            <w:shd w:val="clear" w:color="auto" w:fill="auto"/>
            <w:vAlign w:val="center"/>
          </w:tcPr>
          <w:p w14:paraId="052BA3DB">
            <w:pPr>
              <w:jc w:val="center"/>
              <w:rPr>
                <w:rFonts w:hint="default" w:ascii="Times New Roman" w:hAnsi="Times New Roman" w:eastAsia="宋体" w:cs="Times New Roman"/>
                <w:sz w:val="24"/>
                <w:szCs w:val="24"/>
                <w:lang w:val="en-US" w:eastAsia="zh-CN" w:bidi="ar-SA"/>
              </w:rPr>
            </w:pPr>
            <w:r>
              <w:rPr>
                <w:sz w:val="24"/>
                <w:szCs w:val="24"/>
              </w:rPr>
              <w:t>组织管理</w:t>
            </w:r>
          </w:p>
        </w:tc>
        <w:tc>
          <w:tcPr>
            <w:tcW w:w="4381" w:type="dxa"/>
            <w:shd w:val="clear" w:color="auto" w:fill="auto"/>
            <w:vAlign w:val="center"/>
          </w:tcPr>
          <w:p w14:paraId="38E8B31B">
            <w:pPr>
              <w:jc w:val="both"/>
              <w:rPr>
                <w:sz w:val="24"/>
                <w:szCs w:val="24"/>
              </w:rPr>
            </w:pPr>
            <w:r>
              <w:rPr>
                <w:sz w:val="24"/>
                <w:szCs w:val="24"/>
              </w:rPr>
              <w:t>1、绿化管理台帐齐全，有专人负责；</w:t>
            </w:r>
          </w:p>
          <w:p w14:paraId="46689D1B">
            <w:pPr>
              <w:jc w:val="both"/>
              <w:rPr>
                <w:sz w:val="24"/>
                <w:szCs w:val="24"/>
              </w:rPr>
            </w:pPr>
            <w:r>
              <w:rPr>
                <w:sz w:val="24"/>
                <w:szCs w:val="24"/>
              </w:rPr>
              <w:t>2、根据绿地情况，制定绿地管养技术措施及年度养护计划、月度工作计划等；</w:t>
            </w:r>
          </w:p>
          <w:p w14:paraId="5F4C9D00">
            <w:pPr>
              <w:jc w:val="both"/>
              <w:rPr>
                <w:sz w:val="24"/>
                <w:szCs w:val="24"/>
              </w:rPr>
            </w:pPr>
            <w:r>
              <w:rPr>
                <w:sz w:val="24"/>
                <w:szCs w:val="24"/>
              </w:rPr>
              <w:t>3、有应急抢险预案措施；</w:t>
            </w:r>
          </w:p>
          <w:p w14:paraId="5AC66029">
            <w:pPr>
              <w:jc w:val="both"/>
              <w:rPr>
                <w:sz w:val="24"/>
                <w:szCs w:val="24"/>
              </w:rPr>
            </w:pPr>
            <w:r>
              <w:rPr>
                <w:sz w:val="24"/>
                <w:szCs w:val="24"/>
              </w:rPr>
              <w:t>4、加强对职工培训，提高职工的技术水平；</w:t>
            </w:r>
          </w:p>
          <w:p w14:paraId="1DC855E8">
            <w:pPr>
              <w:jc w:val="both"/>
              <w:rPr>
                <w:rFonts w:hint="default" w:ascii="Times New Roman" w:hAnsi="Times New Roman" w:eastAsia="宋体" w:cs="Times New Roman"/>
                <w:sz w:val="24"/>
                <w:szCs w:val="24"/>
                <w:lang w:val="en-US" w:eastAsia="zh-CN" w:bidi="ar-SA"/>
              </w:rPr>
            </w:pPr>
            <w:r>
              <w:rPr>
                <w:sz w:val="24"/>
                <w:szCs w:val="24"/>
              </w:rPr>
              <w:t>5、按照有关安全生产操作规程组织作业。</w:t>
            </w:r>
          </w:p>
        </w:tc>
        <w:tc>
          <w:tcPr>
            <w:tcW w:w="4418" w:type="dxa"/>
            <w:shd w:val="clear" w:color="auto" w:fill="auto"/>
            <w:vAlign w:val="center"/>
          </w:tcPr>
          <w:p w14:paraId="76495D4E">
            <w:pPr>
              <w:jc w:val="both"/>
              <w:rPr>
                <w:sz w:val="24"/>
                <w:szCs w:val="24"/>
              </w:rPr>
            </w:pPr>
            <w:r>
              <w:rPr>
                <w:sz w:val="24"/>
                <w:szCs w:val="24"/>
              </w:rPr>
              <w:t>1、绿化管理台帐齐全，有专人负责；</w:t>
            </w:r>
          </w:p>
          <w:p w14:paraId="4FFE44D0">
            <w:pPr>
              <w:jc w:val="both"/>
              <w:rPr>
                <w:sz w:val="24"/>
                <w:szCs w:val="24"/>
              </w:rPr>
            </w:pPr>
            <w:r>
              <w:rPr>
                <w:sz w:val="24"/>
                <w:szCs w:val="24"/>
              </w:rPr>
              <w:t>2、根据绿地情况，制定绿地管养技术措施及年度养护计划、</w:t>
            </w:r>
          </w:p>
          <w:p w14:paraId="101F5305">
            <w:pPr>
              <w:jc w:val="both"/>
              <w:rPr>
                <w:sz w:val="24"/>
                <w:szCs w:val="24"/>
              </w:rPr>
            </w:pPr>
            <w:r>
              <w:rPr>
                <w:sz w:val="24"/>
                <w:szCs w:val="24"/>
              </w:rPr>
              <w:t>月度工作计划等；</w:t>
            </w:r>
          </w:p>
          <w:p w14:paraId="47ECF565">
            <w:pPr>
              <w:jc w:val="both"/>
              <w:rPr>
                <w:sz w:val="24"/>
                <w:szCs w:val="24"/>
              </w:rPr>
            </w:pPr>
            <w:r>
              <w:rPr>
                <w:sz w:val="24"/>
                <w:szCs w:val="24"/>
              </w:rPr>
              <w:t>3、有应急抢险预案措施；</w:t>
            </w:r>
          </w:p>
          <w:p w14:paraId="59EBD44B">
            <w:pPr>
              <w:jc w:val="both"/>
              <w:rPr>
                <w:sz w:val="24"/>
                <w:szCs w:val="24"/>
              </w:rPr>
            </w:pPr>
            <w:r>
              <w:rPr>
                <w:sz w:val="24"/>
                <w:szCs w:val="24"/>
              </w:rPr>
              <w:t>4、加强对职工培训，提高职工的技术水平；</w:t>
            </w:r>
          </w:p>
          <w:p w14:paraId="7F8A53F0">
            <w:pPr>
              <w:jc w:val="both"/>
              <w:rPr>
                <w:rFonts w:hint="default" w:ascii="Times New Roman" w:hAnsi="Times New Roman" w:eastAsia="宋体" w:cs="Times New Roman"/>
                <w:sz w:val="24"/>
                <w:szCs w:val="24"/>
                <w:lang w:val="en-US" w:eastAsia="zh-CN" w:bidi="ar-SA"/>
              </w:rPr>
            </w:pPr>
            <w:r>
              <w:rPr>
                <w:sz w:val="24"/>
                <w:szCs w:val="24"/>
              </w:rPr>
              <w:t>5、按照有关安全生产操作规程组织作业。</w:t>
            </w:r>
          </w:p>
        </w:tc>
      </w:tr>
      <w:tr w14:paraId="1E46BC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170" w:type="dxa"/>
            <w:bottom w:w="0" w:type="dxa"/>
            <w:right w:w="170" w:type="dxa"/>
          </w:tblCellMar>
        </w:tblPrEx>
        <w:trPr>
          <w:trHeight w:val="1413" w:hRule="atLeast"/>
          <w:jc w:val="center"/>
        </w:trPr>
        <w:tc>
          <w:tcPr>
            <w:tcW w:w="857" w:type="dxa"/>
            <w:shd w:val="clear" w:color="auto" w:fill="auto"/>
            <w:vAlign w:val="center"/>
          </w:tcPr>
          <w:p w14:paraId="5B30A51A">
            <w:pPr>
              <w:jc w:val="center"/>
              <w:rPr>
                <w:rFonts w:hint="default" w:ascii="Times New Roman" w:hAnsi="Times New Roman" w:eastAsia="宋体" w:cs="Times New Roman"/>
                <w:sz w:val="24"/>
                <w:szCs w:val="24"/>
                <w:lang w:val="en-US" w:eastAsia="zh-CN" w:bidi="ar-SA"/>
              </w:rPr>
            </w:pPr>
            <w:r>
              <w:rPr>
                <w:sz w:val="24"/>
                <w:szCs w:val="24"/>
              </w:rPr>
              <w:t>10</w:t>
            </w:r>
          </w:p>
        </w:tc>
        <w:tc>
          <w:tcPr>
            <w:tcW w:w="871" w:type="dxa"/>
            <w:shd w:val="clear" w:color="auto" w:fill="auto"/>
            <w:vAlign w:val="center"/>
          </w:tcPr>
          <w:p w14:paraId="456A3D19">
            <w:pPr>
              <w:jc w:val="center"/>
              <w:rPr>
                <w:rFonts w:hint="default" w:ascii="Times New Roman" w:hAnsi="Times New Roman" w:eastAsia="宋体" w:cs="Times New Roman"/>
                <w:sz w:val="24"/>
                <w:szCs w:val="24"/>
                <w:lang w:val="en-US" w:eastAsia="zh-CN" w:bidi="ar-SA"/>
              </w:rPr>
            </w:pPr>
            <w:r>
              <w:rPr>
                <w:sz w:val="24"/>
                <w:szCs w:val="24"/>
              </w:rPr>
              <w:t>其它</w:t>
            </w:r>
          </w:p>
        </w:tc>
        <w:tc>
          <w:tcPr>
            <w:tcW w:w="4381" w:type="dxa"/>
            <w:shd w:val="clear" w:color="auto" w:fill="auto"/>
            <w:vAlign w:val="center"/>
          </w:tcPr>
          <w:p w14:paraId="52C4318F">
            <w:pPr>
              <w:jc w:val="both"/>
              <w:rPr>
                <w:sz w:val="24"/>
                <w:szCs w:val="24"/>
              </w:rPr>
            </w:pPr>
            <w:r>
              <w:rPr>
                <w:sz w:val="24"/>
                <w:szCs w:val="24"/>
              </w:rPr>
              <w:t>1、公园绿地内4—10 月份保洁时间为 6： 00—21：00 ，11—3 月份 7 ：00—20：00； 其他绿地保洁时间为 7 ：30—18：00；</w:t>
            </w:r>
          </w:p>
          <w:p w14:paraId="70C3F465">
            <w:pPr>
              <w:jc w:val="both"/>
              <w:rPr>
                <w:rFonts w:hint="default" w:ascii="Times New Roman" w:hAnsi="Times New Roman" w:eastAsia="宋体" w:cs="Times New Roman"/>
                <w:sz w:val="24"/>
                <w:szCs w:val="24"/>
                <w:lang w:val="en-US" w:eastAsia="zh-CN" w:bidi="ar-SA"/>
              </w:rPr>
            </w:pPr>
            <w:r>
              <w:rPr>
                <w:sz w:val="24"/>
                <w:szCs w:val="24"/>
              </w:rPr>
              <w:t>2、绿地保洁、养护人员见具体路段。</w:t>
            </w:r>
          </w:p>
        </w:tc>
        <w:tc>
          <w:tcPr>
            <w:tcW w:w="4418" w:type="dxa"/>
            <w:shd w:val="clear" w:color="auto" w:fill="auto"/>
            <w:vAlign w:val="center"/>
          </w:tcPr>
          <w:p w14:paraId="2E15EAF5">
            <w:pPr>
              <w:jc w:val="both"/>
              <w:rPr>
                <w:sz w:val="24"/>
                <w:szCs w:val="24"/>
              </w:rPr>
            </w:pPr>
            <w:r>
              <w:rPr>
                <w:sz w:val="24"/>
                <w:szCs w:val="24"/>
              </w:rPr>
              <w:t>1、绿地保洁时间为 7：00—17： 30；</w:t>
            </w:r>
          </w:p>
          <w:p w14:paraId="55E1DC67">
            <w:pPr>
              <w:jc w:val="both"/>
              <w:rPr>
                <w:rFonts w:hint="default" w:ascii="Times New Roman" w:hAnsi="Times New Roman" w:eastAsia="宋体" w:cs="Times New Roman"/>
                <w:sz w:val="24"/>
                <w:szCs w:val="24"/>
                <w:lang w:val="en-US" w:eastAsia="zh-CN" w:bidi="ar-SA"/>
              </w:rPr>
            </w:pPr>
            <w:r>
              <w:rPr>
                <w:sz w:val="24"/>
                <w:szCs w:val="24"/>
              </w:rPr>
              <w:t>2、绿地保洁、养护人员见具体路段。</w:t>
            </w:r>
          </w:p>
        </w:tc>
      </w:tr>
    </w:tbl>
    <w:p w14:paraId="61759F66">
      <w:pPr>
        <w:pStyle w:val="13"/>
        <w:spacing w:before="78" w:line="221" w:lineRule="auto"/>
        <w:ind w:left="783"/>
        <w:rPr>
          <w:b/>
          <w:bCs/>
          <w:spacing w:val="-5"/>
        </w:rPr>
      </w:pPr>
    </w:p>
    <w:p w14:paraId="1E36FCD4">
      <w:pPr>
        <w:pStyle w:val="13"/>
        <w:numPr>
          <w:ilvl w:val="0"/>
          <w:numId w:val="13"/>
        </w:numPr>
        <w:spacing w:before="78" w:line="221" w:lineRule="auto"/>
        <w:rPr>
          <w:b/>
          <w:bCs/>
          <w:spacing w:val="-5"/>
        </w:rPr>
      </w:pPr>
      <w:r>
        <w:rPr>
          <w:b/>
          <w:bCs/>
          <w:spacing w:val="-5"/>
        </w:rPr>
        <w:t>奖惩措施</w:t>
      </w:r>
    </w:p>
    <w:p w14:paraId="389F2A01">
      <w:pPr>
        <w:pStyle w:val="13"/>
        <w:numPr>
          <w:ilvl w:val="0"/>
          <w:numId w:val="0"/>
        </w:numPr>
        <w:spacing w:before="78" w:line="221" w:lineRule="auto"/>
        <w:ind w:firstLine="476" w:firstLineChars="200"/>
      </w:pPr>
      <w:r>
        <w:rPr>
          <w:spacing w:val="-1"/>
        </w:rPr>
        <w:t>3.1</w:t>
      </w:r>
      <w:r>
        <w:rPr>
          <w:spacing w:val="-40"/>
        </w:rPr>
        <w:t xml:space="preserve"> </w:t>
      </w:r>
      <w:r>
        <w:rPr>
          <w:spacing w:val="-1"/>
        </w:rPr>
        <w:t>绿化管养综合评分每扣一分，扣除相应管理经费 100 元，上不封顶。</w:t>
      </w:r>
    </w:p>
    <w:p w14:paraId="3216D955">
      <w:pPr>
        <w:pStyle w:val="13"/>
        <w:spacing w:before="179" w:line="220" w:lineRule="auto"/>
        <w:ind w:firstLine="476" w:firstLineChars="200"/>
        <w:rPr>
          <w:rFonts w:hint="eastAsia"/>
          <w:spacing w:val="-1"/>
          <w:lang w:eastAsia="zh-CN"/>
        </w:rPr>
      </w:pPr>
      <w:r>
        <w:rPr>
          <w:spacing w:val="-1"/>
        </w:rPr>
        <w:t>3.2</w:t>
      </w:r>
      <w:r>
        <w:rPr>
          <w:spacing w:val="-43"/>
        </w:rPr>
        <w:t xml:space="preserve"> </w:t>
      </w:r>
      <w:r>
        <w:rPr>
          <w:spacing w:val="-1"/>
        </w:rPr>
        <w:t>绿化管养考核由日常考核巡查和月考核组成，由合同甲方组织实施。</w:t>
      </w:r>
    </w:p>
    <w:p w14:paraId="4A7BD32A">
      <w:pPr>
        <w:pStyle w:val="13"/>
        <w:spacing w:before="179" w:line="220" w:lineRule="auto"/>
        <w:ind w:firstLine="476" w:firstLineChars="200"/>
      </w:pPr>
      <w:r>
        <w:rPr>
          <w:rFonts w:hint="eastAsia"/>
          <w:spacing w:val="-1"/>
          <w:lang w:val="en-US" w:eastAsia="zh-CN"/>
        </w:rPr>
        <w:t>3</w:t>
      </w:r>
      <w:r>
        <w:rPr>
          <w:spacing w:val="-1"/>
        </w:rPr>
        <w:t>.3</w:t>
      </w:r>
      <w:r>
        <w:rPr>
          <w:spacing w:val="-35"/>
        </w:rPr>
        <w:t xml:space="preserve"> </w:t>
      </w:r>
      <w:r>
        <w:rPr>
          <w:spacing w:val="-1"/>
        </w:rPr>
        <w:t>综合评分=100-日常考核扣分×70%-月度考核扣分×30%－特别条款扣分。</w:t>
      </w:r>
    </w:p>
    <w:p w14:paraId="745CC5F9">
      <w:pPr>
        <w:pStyle w:val="13"/>
        <w:spacing w:before="178" w:line="290" w:lineRule="auto"/>
        <w:ind w:right="75" w:firstLine="476" w:firstLineChars="200"/>
        <w:rPr>
          <w:spacing w:val="-4"/>
        </w:rPr>
      </w:pPr>
      <w:r>
        <w:rPr>
          <w:spacing w:val="-1"/>
        </w:rPr>
        <w:t>3.4</w:t>
      </w:r>
      <w:r>
        <w:rPr>
          <w:spacing w:val="-27"/>
        </w:rPr>
        <w:t xml:space="preserve"> </w:t>
      </w:r>
      <w:r>
        <w:rPr>
          <w:spacing w:val="-1"/>
        </w:rPr>
        <w:t>同一路段暴露出的同一问题甲方电话通知乙方两次</w:t>
      </w:r>
      <w:r>
        <w:rPr>
          <w:spacing w:val="-2"/>
        </w:rPr>
        <w:t>后仍未整改到位，甲方将开</w:t>
      </w:r>
      <w:r>
        <w:t xml:space="preserve"> </w:t>
      </w:r>
      <w:r>
        <w:rPr>
          <w:spacing w:val="-4"/>
        </w:rPr>
        <w:t>出“整改通知书</w:t>
      </w:r>
      <w:r>
        <w:rPr>
          <w:spacing w:val="-86"/>
        </w:rPr>
        <w:t xml:space="preserve"> </w:t>
      </w:r>
      <w:r>
        <w:rPr>
          <w:spacing w:val="-4"/>
        </w:rPr>
        <w:t>”，并在当月综合评分中扣除</w:t>
      </w:r>
      <w:r>
        <w:rPr>
          <w:spacing w:val="-46"/>
        </w:rPr>
        <w:t xml:space="preserve"> </w:t>
      </w:r>
      <w:r>
        <w:rPr>
          <w:spacing w:val="-4"/>
        </w:rPr>
        <w:t>5</w:t>
      </w:r>
      <w:r>
        <w:rPr>
          <w:spacing w:val="-48"/>
        </w:rPr>
        <w:t xml:space="preserve"> </w:t>
      </w:r>
      <w:r>
        <w:rPr>
          <w:spacing w:val="-4"/>
        </w:rPr>
        <w:t>分。</w:t>
      </w:r>
    </w:p>
    <w:p w14:paraId="14FBFDF7">
      <w:pPr>
        <w:pStyle w:val="13"/>
        <w:spacing w:before="178" w:line="290" w:lineRule="auto"/>
        <w:ind w:right="75" w:firstLine="456" w:firstLineChars="200"/>
      </w:pPr>
      <w:r>
        <w:rPr>
          <w:spacing w:val="-6"/>
        </w:rPr>
        <w:t>3.5 日常检查过程中，出现下列情况时，除按规定扣分外，还</w:t>
      </w:r>
      <w:r>
        <w:rPr>
          <w:spacing w:val="-7"/>
        </w:rPr>
        <w:t>需直接扣除养护经费：</w:t>
      </w:r>
    </w:p>
    <w:p w14:paraId="0B1AEC52">
      <w:pPr>
        <w:pStyle w:val="13"/>
        <w:spacing w:before="179" w:line="218" w:lineRule="auto"/>
        <w:ind w:firstLine="472" w:firstLineChars="200"/>
      </w:pPr>
      <w:r>
        <w:rPr>
          <w:spacing w:val="-2"/>
        </w:rPr>
        <w:t>①</w:t>
      </w:r>
      <w:r>
        <w:rPr>
          <w:spacing w:val="-94"/>
        </w:rPr>
        <w:t xml:space="preserve"> </w:t>
      </w:r>
      <w:r>
        <w:rPr>
          <w:spacing w:val="-2"/>
        </w:rPr>
        <w:t>、现场负责人应按时按规定参加甲方组织的各项培训</w:t>
      </w:r>
      <w:r>
        <w:rPr>
          <w:spacing w:val="-3"/>
        </w:rPr>
        <w:t>、会议；无故缺席的一次扣</w:t>
      </w:r>
    </w:p>
    <w:p w14:paraId="6BF9A904">
      <w:pPr>
        <w:pStyle w:val="13"/>
        <w:spacing w:before="184" w:line="221" w:lineRule="auto"/>
        <w:ind w:left="303"/>
      </w:pPr>
      <w:r>
        <w:rPr>
          <w:spacing w:val="-6"/>
        </w:rPr>
        <w:t>500</w:t>
      </w:r>
      <w:r>
        <w:rPr>
          <w:spacing w:val="-46"/>
        </w:rPr>
        <w:t xml:space="preserve"> </w:t>
      </w:r>
      <w:r>
        <w:rPr>
          <w:spacing w:val="-6"/>
        </w:rPr>
        <w:t>元；</w:t>
      </w:r>
    </w:p>
    <w:p w14:paraId="04019613">
      <w:pPr>
        <w:pStyle w:val="13"/>
        <w:spacing w:before="178" w:line="218" w:lineRule="auto"/>
        <w:ind w:firstLine="480" w:firstLineChars="200"/>
      </w:pPr>
      <w:r>
        <w:t>②、按合同规定的养护人员人数到岗到位，不足员时，按每人每天</w:t>
      </w:r>
      <w:r>
        <w:rPr>
          <w:spacing w:val="-1"/>
        </w:rPr>
        <w:t xml:space="preserve"> 200 元扣除；</w:t>
      </w:r>
    </w:p>
    <w:p w14:paraId="0479125F">
      <w:pPr>
        <w:pStyle w:val="13"/>
        <w:spacing w:before="185" w:line="289" w:lineRule="auto"/>
        <w:ind w:right="63" w:firstLine="472" w:firstLineChars="200"/>
      </w:pPr>
      <w:r>
        <w:rPr>
          <w:spacing w:val="-2"/>
        </w:rPr>
        <w:t>③、处于失管状态的地块，甲方有权根据失管的严重程度，在扣分的基础上，直接</w:t>
      </w:r>
      <w:r>
        <w:rPr>
          <w:spacing w:val="15"/>
        </w:rPr>
        <w:t xml:space="preserve"> </w:t>
      </w:r>
      <w:r>
        <w:rPr>
          <w:spacing w:val="-2"/>
        </w:rPr>
        <w:t>扣除当月的养护费用；</w:t>
      </w:r>
    </w:p>
    <w:p w14:paraId="73F3D329">
      <w:pPr>
        <w:pStyle w:val="13"/>
        <w:spacing w:before="182" w:line="220" w:lineRule="auto"/>
        <w:ind w:firstLine="476" w:firstLineChars="200"/>
      </w:pPr>
      <w:r>
        <w:rPr>
          <w:spacing w:val="-1"/>
        </w:rPr>
        <w:t>3.6</w:t>
      </w:r>
      <w:r>
        <w:rPr>
          <w:spacing w:val="-39"/>
        </w:rPr>
        <w:t xml:space="preserve"> </w:t>
      </w:r>
      <w:r>
        <w:rPr>
          <w:spacing w:val="-1"/>
        </w:rPr>
        <w:t>该措施中所指的扣款是每月考核综合评分扣款，管养单位在结算资金时结清。</w:t>
      </w:r>
    </w:p>
    <w:p w14:paraId="6BAEB297">
      <w:pPr>
        <w:pStyle w:val="13"/>
        <w:spacing w:before="180" w:line="290" w:lineRule="auto"/>
        <w:ind w:right="75" w:firstLine="476" w:firstLineChars="200"/>
      </w:pPr>
      <w:r>
        <w:rPr>
          <w:spacing w:val="-1"/>
        </w:rPr>
        <w:t>3.7</w:t>
      </w:r>
      <w:r>
        <w:rPr>
          <w:spacing w:val="-39"/>
        </w:rPr>
        <w:t xml:space="preserve"> </w:t>
      </w:r>
      <w:r>
        <w:rPr>
          <w:spacing w:val="-1"/>
        </w:rPr>
        <w:t>如不当养护造成绿化损失或严重社会影响，如草坪杂化、乔木修剪过重、地被</w:t>
      </w:r>
      <w:r>
        <w:t xml:space="preserve"> 花境长势衰退或严重不良等由管养单位负责更新，</w:t>
      </w:r>
      <w:r>
        <w:rPr>
          <w:spacing w:val="-1"/>
        </w:rPr>
        <w:t>费用由管养单位自行承担。</w:t>
      </w:r>
    </w:p>
    <w:p w14:paraId="04C5602A">
      <w:pPr>
        <w:pStyle w:val="13"/>
        <w:spacing w:before="181" w:line="313" w:lineRule="auto"/>
        <w:ind w:firstLine="476" w:firstLineChars="200"/>
        <w:rPr>
          <w:spacing w:val="-1"/>
        </w:rPr>
      </w:pPr>
      <w:r>
        <w:rPr>
          <w:spacing w:val="-1"/>
        </w:rPr>
        <w:t>3.8</w:t>
      </w:r>
      <w:r>
        <w:rPr>
          <w:spacing w:val="-39"/>
        </w:rPr>
        <w:t xml:space="preserve"> </w:t>
      </w:r>
      <w:r>
        <w:rPr>
          <w:spacing w:val="-1"/>
        </w:rPr>
        <w:t>应急管理：养护单位必须制定灾害性天气应急预案，建立一支稳定的应急抢险</w:t>
      </w:r>
      <w:r>
        <w:t xml:space="preserve"> </w:t>
      </w:r>
      <w:r>
        <w:rPr>
          <w:spacing w:val="-6"/>
        </w:rPr>
        <w:t>队伍，并配备必须的应急设备，确保出现灾害性天气时，能够第一时间投</w:t>
      </w:r>
      <w:r>
        <w:rPr>
          <w:spacing w:val="-7"/>
        </w:rPr>
        <w:t>入抢险救灾灾，</w:t>
      </w:r>
      <w:r>
        <w:t xml:space="preserve"> </w:t>
      </w:r>
      <w:r>
        <w:rPr>
          <w:spacing w:val="-1"/>
        </w:rPr>
        <w:t>并服从甲方另行安排的其它范围内的应急抢险任务。</w:t>
      </w:r>
    </w:p>
    <w:p w14:paraId="7F9FBF6B">
      <w:pPr>
        <w:pStyle w:val="13"/>
        <w:spacing w:before="181" w:line="313" w:lineRule="auto"/>
        <w:ind w:firstLine="476" w:firstLineChars="200"/>
      </w:pPr>
      <w:r>
        <w:rPr>
          <w:spacing w:val="-1"/>
        </w:rPr>
        <w:t>3.9</w:t>
      </w:r>
      <w:r>
        <w:rPr>
          <w:spacing w:val="-39"/>
        </w:rPr>
        <w:t xml:space="preserve"> </w:t>
      </w:r>
      <w:r>
        <w:rPr>
          <w:spacing w:val="-1"/>
        </w:rPr>
        <w:t>安全责任事故等风险问题：养护期内，养护单位须加强安全生产管理，积极主</w:t>
      </w:r>
      <w:r>
        <w:t xml:space="preserve"> </w:t>
      </w:r>
      <w:r>
        <w:rPr>
          <w:spacing w:val="-2"/>
        </w:rPr>
        <w:t>动采取防范措施，解除安全隐患，同时为养护工人购买保险等方式来规避风险。如养护</w:t>
      </w:r>
      <w:r>
        <w:rPr>
          <w:spacing w:val="16"/>
        </w:rPr>
        <w:t xml:space="preserve"> </w:t>
      </w:r>
      <w:r>
        <w:rPr>
          <w:spacing w:val="-2"/>
        </w:rPr>
        <w:t>标段中发生安全事故、人员伤亡事件，由养护单位负责处理解决，处理过程中发生的费</w:t>
      </w:r>
      <w:r>
        <w:rPr>
          <w:spacing w:val="16"/>
        </w:rPr>
        <w:t xml:space="preserve"> </w:t>
      </w:r>
      <w:r>
        <w:rPr>
          <w:spacing w:val="-1"/>
        </w:rPr>
        <w:t>用（包括赔偿费用）由养护单位承担。</w:t>
      </w:r>
    </w:p>
    <w:p w14:paraId="749DB3FF">
      <w:pPr>
        <w:pStyle w:val="13"/>
        <w:spacing w:before="182" w:line="220" w:lineRule="auto"/>
      </w:pPr>
      <w:r>
        <w:rPr>
          <w:b/>
          <w:bCs/>
          <w:spacing w:val="-3"/>
        </w:rPr>
        <w:t>4、绿化管养考核实施细则</w:t>
      </w:r>
    </w:p>
    <w:p w14:paraId="01C78F15">
      <w:pPr>
        <w:pStyle w:val="13"/>
        <w:spacing w:before="182" w:line="212" w:lineRule="auto"/>
        <w:ind w:left="3039"/>
      </w:pPr>
      <w:r>
        <w:rPr>
          <w:b/>
          <w:bCs/>
          <w:spacing w:val="-4"/>
        </w:rPr>
        <w:t>（一）绿化养护管理考核实施细则</w:t>
      </w:r>
    </w:p>
    <w:tbl>
      <w:tblPr>
        <w:tblStyle w:val="429"/>
        <w:tblW w:w="974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777"/>
        <w:gridCol w:w="3878"/>
        <w:gridCol w:w="3372"/>
        <w:gridCol w:w="875"/>
      </w:tblGrid>
      <w:tr w14:paraId="5F3AFD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jc w:val="center"/>
        </w:trPr>
        <w:tc>
          <w:tcPr>
            <w:tcW w:w="839" w:type="dxa"/>
            <w:vAlign w:val="center"/>
          </w:tcPr>
          <w:p w14:paraId="55FC00BF">
            <w:pPr>
              <w:pStyle w:val="437"/>
              <w:spacing w:before="38" w:line="221" w:lineRule="auto"/>
              <w:jc w:val="center"/>
              <w:rPr>
                <w:sz w:val="24"/>
                <w:szCs w:val="24"/>
              </w:rPr>
            </w:pPr>
            <w:r>
              <w:rPr>
                <w:b/>
                <w:bCs/>
                <w:spacing w:val="-10"/>
                <w:sz w:val="24"/>
                <w:szCs w:val="24"/>
              </w:rPr>
              <w:t>项目</w:t>
            </w:r>
          </w:p>
        </w:tc>
        <w:tc>
          <w:tcPr>
            <w:tcW w:w="777" w:type="dxa"/>
            <w:vAlign w:val="center"/>
          </w:tcPr>
          <w:p w14:paraId="5F28AC36">
            <w:pPr>
              <w:pStyle w:val="437"/>
              <w:spacing w:before="38" w:line="220" w:lineRule="auto"/>
              <w:jc w:val="center"/>
              <w:rPr>
                <w:sz w:val="24"/>
                <w:szCs w:val="24"/>
              </w:rPr>
            </w:pPr>
            <w:r>
              <w:rPr>
                <w:b/>
                <w:bCs/>
                <w:spacing w:val="-9"/>
                <w:sz w:val="24"/>
                <w:szCs w:val="24"/>
              </w:rPr>
              <w:t>分值</w:t>
            </w:r>
          </w:p>
        </w:tc>
        <w:tc>
          <w:tcPr>
            <w:tcW w:w="3878" w:type="dxa"/>
            <w:vAlign w:val="center"/>
          </w:tcPr>
          <w:p w14:paraId="30EC0E05">
            <w:pPr>
              <w:pStyle w:val="437"/>
              <w:spacing w:before="38" w:line="220" w:lineRule="auto"/>
              <w:jc w:val="center"/>
              <w:rPr>
                <w:sz w:val="24"/>
                <w:szCs w:val="24"/>
              </w:rPr>
            </w:pPr>
            <w:r>
              <w:rPr>
                <w:b/>
                <w:bCs/>
                <w:spacing w:val="-5"/>
                <w:sz w:val="24"/>
                <w:szCs w:val="24"/>
              </w:rPr>
              <w:t>考核标准</w:t>
            </w:r>
          </w:p>
        </w:tc>
        <w:tc>
          <w:tcPr>
            <w:tcW w:w="3372" w:type="dxa"/>
            <w:vAlign w:val="center"/>
          </w:tcPr>
          <w:p w14:paraId="4B825F11">
            <w:pPr>
              <w:pStyle w:val="437"/>
              <w:spacing w:before="38" w:line="221" w:lineRule="auto"/>
              <w:jc w:val="center"/>
              <w:rPr>
                <w:sz w:val="24"/>
                <w:szCs w:val="24"/>
              </w:rPr>
            </w:pPr>
            <w:r>
              <w:rPr>
                <w:b/>
                <w:bCs/>
                <w:spacing w:val="-6"/>
                <w:sz w:val="24"/>
                <w:szCs w:val="24"/>
              </w:rPr>
              <w:t>扣分细则</w:t>
            </w:r>
          </w:p>
        </w:tc>
        <w:tc>
          <w:tcPr>
            <w:tcW w:w="875" w:type="dxa"/>
            <w:vAlign w:val="center"/>
          </w:tcPr>
          <w:p w14:paraId="4F08AB1F">
            <w:pPr>
              <w:pStyle w:val="437"/>
              <w:spacing w:before="38" w:line="221" w:lineRule="auto"/>
              <w:jc w:val="center"/>
              <w:rPr>
                <w:sz w:val="24"/>
                <w:szCs w:val="24"/>
              </w:rPr>
            </w:pPr>
            <w:r>
              <w:rPr>
                <w:b/>
                <w:bCs/>
                <w:spacing w:val="-10"/>
                <w:sz w:val="24"/>
                <w:szCs w:val="24"/>
              </w:rPr>
              <w:t>扣分</w:t>
            </w:r>
          </w:p>
        </w:tc>
      </w:tr>
      <w:tr w14:paraId="3FE414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11" w:hRule="atLeast"/>
          <w:jc w:val="center"/>
        </w:trPr>
        <w:tc>
          <w:tcPr>
            <w:tcW w:w="839" w:type="dxa"/>
            <w:vMerge w:val="restart"/>
            <w:tcBorders>
              <w:bottom w:val="nil"/>
            </w:tcBorders>
            <w:vAlign w:val="center"/>
          </w:tcPr>
          <w:p w14:paraId="0DD5C170">
            <w:pPr>
              <w:spacing w:line="240" w:lineRule="auto"/>
              <w:jc w:val="both"/>
              <w:rPr>
                <w:rFonts w:ascii="Arial"/>
                <w:sz w:val="24"/>
                <w:szCs w:val="24"/>
              </w:rPr>
            </w:pPr>
          </w:p>
          <w:p w14:paraId="4033DDA6">
            <w:pPr>
              <w:spacing w:line="240" w:lineRule="auto"/>
              <w:jc w:val="both"/>
              <w:rPr>
                <w:rFonts w:ascii="Arial"/>
                <w:sz w:val="24"/>
                <w:szCs w:val="24"/>
              </w:rPr>
            </w:pPr>
          </w:p>
          <w:p w14:paraId="6A454A54">
            <w:pPr>
              <w:pStyle w:val="437"/>
              <w:spacing w:before="78" w:line="240" w:lineRule="auto"/>
              <w:ind w:left="117" w:right="247"/>
              <w:jc w:val="both"/>
              <w:rPr>
                <w:sz w:val="24"/>
                <w:szCs w:val="24"/>
              </w:rPr>
            </w:pPr>
            <w:r>
              <w:rPr>
                <w:b/>
                <w:bCs/>
                <w:spacing w:val="-9"/>
                <w:sz w:val="24"/>
                <w:szCs w:val="24"/>
              </w:rPr>
              <w:t>卫生</w:t>
            </w:r>
            <w:r>
              <w:rPr>
                <w:sz w:val="24"/>
                <w:szCs w:val="24"/>
              </w:rPr>
              <w:t xml:space="preserve"> </w:t>
            </w:r>
            <w:r>
              <w:rPr>
                <w:b/>
                <w:bCs/>
                <w:spacing w:val="-8"/>
                <w:sz w:val="24"/>
                <w:szCs w:val="24"/>
              </w:rPr>
              <w:t>保洁</w:t>
            </w:r>
          </w:p>
        </w:tc>
        <w:tc>
          <w:tcPr>
            <w:tcW w:w="777" w:type="dxa"/>
            <w:vMerge w:val="restart"/>
            <w:tcBorders>
              <w:bottom w:val="nil"/>
            </w:tcBorders>
            <w:vAlign w:val="center"/>
          </w:tcPr>
          <w:p w14:paraId="4FB8B9E0">
            <w:pPr>
              <w:spacing w:line="240" w:lineRule="auto"/>
              <w:jc w:val="left"/>
              <w:rPr>
                <w:rFonts w:ascii="Arial"/>
                <w:sz w:val="24"/>
                <w:szCs w:val="24"/>
              </w:rPr>
            </w:pPr>
          </w:p>
          <w:p w14:paraId="2DEB6537">
            <w:pPr>
              <w:spacing w:line="240" w:lineRule="auto"/>
              <w:jc w:val="left"/>
              <w:rPr>
                <w:rFonts w:ascii="Arial"/>
                <w:sz w:val="24"/>
                <w:szCs w:val="24"/>
              </w:rPr>
            </w:pPr>
          </w:p>
          <w:p w14:paraId="74DE3120">
            <w:pPr>
              <w:pStyle w:val="437"/>
              <w:spacing w:before="78" w:line="240" w:lineRule="auto"/>
              <w:ind w:left="115"/>
              <w:jc w:val="left"/>
              <w:rPr>
                <w:sz w:val="24"/>
                <w:szCs w:val="24"/>
              </w:rPr>
            </w:pPr>
            <w:r>
              <w:rPr>
                <w:b/>
                <w:bCs/>
                <w:spacing w:val="-8"/>
                <w:sz w:val="24"/>
                <w:szCs w:val="24"/>
              </w:rPr>
              <w:t>20</w:t>
            </w:r>
          </w:p>
        </w:tc>
        <w:tc>
          <w:tcPr>
            <w:tcW w:w="3878" w:type="dxa"/>
            <w:vAlign w:val="center"/>
          </w:tcPr>
          <w:p w14:paraId="0A8DD8E7">
            <w:pPr>
              <w:pStyle w:val="437"/>
              <w:spacing w:before="35" w:line="240" w:lineRule="auto"/>
              <w:ind w:left="114" w:right="105" w:firstLine="15"/>
              <w:jc w:val="both"/>
              <w:rPr>
                <w:sz w:val="24"/>
                <w:szCs w:val="24"/>
              </w:rPr>
            </w:pPr>
            <w:r>
              <w:rPr>
                <w:spacing w:val="-10"/>
                <w:sz w:val="24"/>
                <w:szCs w:val="24"/>
              </w:rPr>
              <w:t>1、花坛、树池、绿地内无白色</w:t>
            </w:r>
            <w:r>
              <w:rPr>
                <w:spacing w:val="-1"/>
                <w:sz w:val="24"/>
                <w:szCs w:val="24"/>
              </w:rPr>
              <w:t>垃圾、落叶、建筑垃圾；水面</w:t>
            </w:r>
            <w:r>
              <w:rPr>
                <w:spacing w:val="-2"/>
                <w:sz w:val="24"/>
                <w:szCs w:val="24"/>
              </w:rPr>
              <w:t>无漂浮物等。</w:t>
            </w:r>
          </w:p>
        </w:tc>
        <w:tc>
          <w:tcPr>
            <w:tcW w:w="3372" w:type="dxa"/>
            <w:vMerge w:val="restart"/>
            <w:tcBorders>
              <w:bottom w:val="nil"/>
            </w:tcBorders>
            <w:vAlign w:val="center"/>
          </w:tcPr>
          <w:p w14:paraId="68B7CAE9">
            <w:pPr>
              <w:pStyle w:val="437"/>
              <w:spacing w:before="78" w:line="240" w:lineRule="auto"/>
              <w:ind w:left="119" w:right="42"/>
              <w:jc w:val="both"/>
              <w:rPr>
                <w:sz w:val="24"/>
                <w:szCs w:val="24"/>
              </w:rPr>
            </w:pPr>
            <w:r>
              <w:rPr>
                <w:spacing w:val="-10"/>
                <w:sz w:val="24"/>
                <w:szCs w:val="24"/>
              </w:rPr>
              <w:t>发现有陈旧垃圾、杂物扣2</w:t>
            </w:r>
            <w:r>
              <w:rPr>
                <w:spacing w:val="-44"/>
                <w:sz w:val="24"/>
                <w:szCs w:val="24"/>
              </w:rPr>
              <w:t xml:space="preserve"> </w:t>
            </w:r>
            <w:r>
              <w:rPr>
                <w:spacing w:val="-10"/>
                <w:sz w:val="24"/>
                <w:szCs w:val="24"/>
              </w:rPr>
              <w:t>分/处</w:t>
            </w:r>
            <w:r>
              <w:rPr>
                <w:rFonts w:hint="eastAsia"/>
                <w:spacing w:val="-10"/>
                <w:sz w:val="24"/>
                <w:szCs w:val="24"/>
                <w:lang w:eastAsia="zh-CN"/>
              </w:rPr>
              <w:t>；</w:t>
            </w:r>
            <w:r>
              <w:rPr>
                <w:spacing w:val="-4"/>
                <w:sz w:val="24"/>
                <w:szCs w:val="24"/>
              </w:rPr>
              <w:t>发现有卫生死角扣</w:t>
            </w:r>
            <w:r>
              <w:rPr>
                <w:spacing w:val="-37"/>
                <w:sz w:val="24"/>
                <w:szCs w:val="24"/>
              </w:rPr>
              <w:t xml:space="preserve"> </w:t>
            </w:r>
            <w:r>
              <w:rPr>
                <w:spacing w:val="-4"/>
                <w:sz w:val="24"/>
                <w:szCs w:val="24"/>
              </w:rPr>
              <w:t>5</w:t>
            </w:r>
            <w:r>
              <w:rPr>
                <w:spacing w:val="-47"/>
                <w:sz w:val="24"/>
                <w:szCs w:val="24"/>
              </w:rPr>
              <w:t xml:space="preserve"> </w:t>
            </w:r>
            <w:r>
              <w:rPr>
                <w:spacing w:val="-4"/>
                <w:sz w:val="24"/>
                <w:szCs w:val="24"/>
              </w:rPr>
              <w:t>分/处；发现</w:t>
            </w:r>
            <w:r>
              <w:rPr>
                <w:sz w:val="24"/>
                <w:szCs w:val="24"/>
              </w:rPr>
              <w:t xml:space="preserve"> </w:t>
            </w:r>
            <w:r>
              <w:rPr>
                <w:spacing w:val="-4"/>
                <w:sz w:val="24"/>
                <w:szCs w:val="24"/>
              </w:rPr>
              <w:t>园林设施及水体不整洁扣</w:t>
            </w:r>
            <w:r>
              <w:rPr>
                <w:spacing w:val="-31"/>
                <w:sz w:val="24"/>
                <w:szCs w:val="24"/>
              </w:rPr>
              <w:t xml:space="preserve"> </w:t>
            </w:r>
            <w:r>
              <w:rPr>
                <w:spacing w:val="-4"/>
                <w:sz w:val="24"/>
                <w:szCs w:val="24"/>
              </w:rPr>
              <w:t>1</w:t>
            </w:r>
            <w:r>
              <w:rPr>
                <w:spacing w:val="-48"/>
                <w:sz w:val="24"/>
                <w:szCs w:val="24"/>
              </w:rPr>
              <w:t xml:space="preserve"> </w:t>
            </w:r>
            <w:r>
              <w:rPr>
                <w:spacing w:val="-4"/>
                <w:sz w:val="24"/>
                <w:szCs w:val="24"/>
              </w:rPr>
              <w:t>分/</w:t>
            </w:r>
            <w:r>
              <w:rPr>
                <w:spacing w:val="-6"/>
                <w:sz w:val="24"/>
                <w:szCs w:val="24"/>
              </w:rPr>
              <w:t>处；垃圾当天不及时清运扣</w:t>
            </w:r>
            <w:r>
              <w:rPr>
                <w:spacing w:val="-46"/>
                <w:sz w:val="24"/>
                <w:szCs w:val="24"/>
              </w:rPr>
              <w:t xml:space="preserve"> </w:t>
            </w:r>
            <w:r>
              <w:rPr>
                <w:spacing w:val="-6"/>
                <w:sz w:val="24"/>
                <w:szCs w:val="24"/>
              </w:rPr>
              <w:t>2</w:t>
            </w:r>
            <w:r>
              <w:rPr>
                <w:spacing w:val="-48"/>
                <w:sz w:val="24"/>
                <w:szCs w:val="24"/>
              </w:rPr>
              <w:t xml:space="preserve"> </w:t>
            </w:r>
            <w:r>
              <w:rPr>
                <w:spacing w:val="-6"/>
                <w:sz w:val="24"/>
                <w:szCs w:val="24"/>
              </w:rPr>
              <w:t>分。</w:t>
            </w:r>
          </w:p>
        </w:tc>
        <w:tc>
          <w:tcPr>
            <w:tcW w:w="875" w:type="dxa"/>
            <w:vMerge w:val="restart"/>
            <w:tcBorders>
              <w:bottom w:val="nil"/>
            </w:tcBorders>
            <w:vAlign w:val="top"/>
          </w:tcPr>
          <w:p w14:paraId="62867E08">
            <w:pPr>
              <w:spacing w:line="240" w:lineRule="auto"/>
              <w:rPr>
                <w:rFonts w:ascii="Arial"/>
                <w:sz w:val="24"/>
                <w:szCs w:val="24"/>
              </w:rPr>
            </w:pPr>
          </w:p>
        </w:tc>
      </w:tr>
      <w:tr w14:paraId="159B01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6" w:hRule="atLeast"/>
          <w:jc w:val="center"/>
        </w:trPr>
        <w:tc>
          <w:tcPr>
            <w:tcW w:w="839" w:type="dxa"/>
            <w:vMerge w:val="continue"/>
            <w:tcBorders>
              <w:top w:val="nil"/>
              <w:bottom w:val="nil"/>
            </w:tcBorders>
            <w:vAlign w:val="top"/>
          </w:tcPr>
          <w:p w14:paraId="539CCD94">
            <w:pPr>
              <w:spacing w:line="240" w:lineRule="auto"/>
              <w:rPr>
                <w:rFonts w:ascii="Arial"/>
                <w:sz w:val="24"/>
                <w:szCs w:val="24"/>
              </w:rPr>
            </w:pPr>
          </w:p>
        </w:tc>
        <w:tc>
          <w:tcPr>
            <w:tcW w:w="777" w:type="dxa"/>
            <w:vMerge w:val="continue"/>
            <w:tcBorders>
              <w:top w:val="nil"/>
              <w:bottom w:val="nil"/>
            </w:tcBorders>
            <w:vAlign w:val="top"/>
          </w:tcPr>
          <w:p w14:paraId="59605AAE">
            <w:pPr>
              <w:spacing w:line="240" w:lineRule="auto"/>
              <w:jc w:val="left"/>
              <w:rPr>
                <w:rFonts w:ascii="Arial"/>
                <w:sz w:val="24"/>
                <w:szCs w:val="24"/>
              </w:rPr>
            </w:pPr>
          </w:p>
        </w:tc>
        <w:tc>
          <w:tcPr>
            <w:tcW w:w="3878" w:type="dxa"/>
            <w:vAlign w:val="center"/>
          </w:tcPr>
          <w:p w14:paraId="579BDE87">
            <w:pPr>
              <w:pStyle w:val="437"/>
              <w:spacing w:before="38" w:line="240" w:lineRule="auto"/>
              <w:ind w:left="115"/>
              <w:jc w:val="both"/>
              <w:rPr>
                <w:sz w:val="24"/>
                <w:szCs w:val="24"/>
              </w:rPr>
            </w:pPr>
            <w:r>
              <w:rPr>
                <w:spacing w:val="-2"/>
                <w:sz w:val="24"/>
                <w:szCs w:val="24"/>
              </w:rPr>
              <w:t>2、园林设施整洁卫生。</w:t>
            </w:r>
          </w:p>
        </w:tc>
        <w:tc>
          <w:tcPr>
            <w:tcW w:w="3372" w:type="dxa"/>
            <w:vMerge w:val="continue"/>
            <w:tcBorders>
              <w:top w:val="nil"/>
              <w:bottom w:val="nil"/>
            </w:tcBorders>
            <w:vAlign w:val="top"/>
          </w:tcPr>
          <w:p w14:paraId="20FEA944">
            <w:pPr>
              <w:spacing w:line="240" w:lineRule="auto"/>
              <w:rPr>
                <w:rFonts w:ascii="Arial"/>
                <w:sz w:val="24"/>
                <w:szCs w:val="24"/>
              </w:rPr>
            </w:pPr>
          </w:p>
        </w:tc>
        <w:tc>
          <w:tcPr>
            <w:tcW w:w="875" w:type="dxa"/>
            <w:vMerge w:val="continue"/>
            <w:tcBorders>
              <w:top w:val="nil"/>
              <w:bottom w:val="nil"/>
            </w:tcBorders>
            <w:vAlign w:val="top"/>
          </w:tcPr>
          <w:p w14:paraId="0490AC5B">
            <w:pPr>
              <w:spacing w:line="240" w:lineRule="auto"/>
              <w:rPr>
                <w:rFonts w:ascii="Arial"/>
                <w:sz w:val="24"/>
                <w:szCs w:val="24"/>
              </w:rPr>
            </w:pPr>
          </w:p>
        </w:tc>
      </w:tr>
      <w:tr w14:paraId="7B09B3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jc w:val="center"/>
        </w:trPr>
        <w:tc>
          <w:tcPr>
            <w:tcW w:w="839" w:type="dxa"/>
            <w:vMerge w:val="continue"/>
            <w:tcBorders>
              <w:top w:val="nil"/>
              <w:bottom w:val="single" w:color="000000" w:sz="2" w:space="0"/>
            </w:tcBorders>
            <w:vAlign w:val="top"/>
          </w:tcPr>
          <w:p w14:paraId="7AEC2838">
            <w:pPr>
              <w:spacing w:line="240" w:lineRule="auto"/>
              <w:rPr>
                <w:rFonts w:ascii="Arial"/>
                <w:sz w:val="24"/>
                <w:szCs w:val="24"/>
              </w:rPr>
            </w:pPr>
          </w:p>
        </w:tc>
        <w:tc>
          <w:tcPr>
            <w:tcW w:w="777" w:type="dxa"/>
            <w:vMerge w:val="continue"/>
            <w:tcBorders>
              <w:top w:val="nil"/>
              <w:bottom w:val="single" w:color="000000" w:sz="2" w:space="0"/>
            </w:tcBorders>
            <w:vAlign w:val="top"/>
          </w:tcPr>
          <w:p w14:paraId="607C31AE">
            <w:pPr>
              <w:spacing w:line="240" w:lineRule="auto"/>
              <w:jc w:val="left"/>
              <w:rPr>
                <w:rFonts w:ascii="Arial"/>
                <w:sz w:val="24"/>
                <w:szCs w:val="24"/>
              </w:rPr>
            </w:pPr>
          </w:p>
        </w:tc>
        <w:tc>
          <w:tcPr>
            <w:tcW w:w="3878" w:type="dxa"/>
            <w:tcBorders>
              <w:bottom w:val="single" w:color="000000" w:sz="2" w:space="0"/>
            </w:tcBorders>
            <w:vAlign w:val="center"/>
          </w:tcPr>
          <w:p w14:paraId="533D10F8">
            <w:pPr>
              <w:pStyle w:val="437"/>
              <w:spacing w:before="40" w:line="240" w:lineRule="auto"/>
              <w:ind w:left="113" w:right="105" w:firstLine="3"/>
              <w:jc w:val="both"/>
              <w:rPr>
                <w:sz w:val="24"/>
                <w:szCs w:val="24"/>
              </w:rPr>
            </w:pPr>
            <w:r>
              <w:rPr>
                <w:spacing w:val="-9"/>
                <w:sz w:val="24"/>
                <w:szCs w:val="24"/>
              </w:rPr>
              <w:t>3、生产垃圾日产日清，重点地</w:t>
            </w:r>
            <w:r>
              <w:rPr>
                <w:spacing w:val="-2"/>
                <w:sz w:val="24"/>
                <w:szCs w:val="24"/>
              </w:rPr>
              <w:t>段随产随清。</w:t>
            </w:r>
          </w:p>
        </w:tc>
        <w:tc>
          <w:tcPr>
            <w:tcW w:w="3372" w:type="dxa"/>
            <w:vMerge w:val="continue"/>
            <w:tcBorders>
              <w:top w:val="nil"/>
              <w:bottom w:val="single" w:color="000000" w:sz="2" w:space="0"/>
            </w:tcBorders>
            <w:vAlign w:val="top"/>
          </w:tcPr>
          <w:p w14:paraId="3BF678A9">
            <w:pPr>
              <w:spacing w:line="240" w:lineRule="auto"/>
              <w:rPr>
                <w:rFonts w:ascii="Arial"/>
                <w:sz w:val="24"/>
                <w:szCs w:val="24"/>
              </w:rPr>
            </w:pPr>
          </w:p>
        </w:tc>
        <w:tc>
          <w:tcPr>
            <w:tcW w:w="875" w:type="dxa"/>
            <w:vMerge w:val="continue"/>
            <w:tcBorders>
              <w:top w:val="nil"/>
              <w:bottom w:val="single" w:color="000000" w:sz="2" w:space="0"/>
            </w:tcBorders>
            <w:vAlign w:val="top"/>
          </w:tcPr>
          <w:p w14:paraId="3B41EDD3">
            <w:pPr>
              <w:spacing w:line="240" w:lineRule="auto"/>
              <w:rPr>
                <w:rFonts w:ascii="Arial"/>
                <w:sz w:val="24"/>
                <w:szCs w:val="24"/>
              </w:rPr>
            </w:pPr>
          </w:p>
        </w:tc>
      </w:tr>
      <w:tr w14:paraId="267D8E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9" w:hRule="atLeast"/>
          <w:jc w:val="center"/>
        </w:trPr>
        <w:tc>
          <w:tcPr>
            <w:tcW w:w="839" w:type="dxa"/>
            <w:vMerge w:val="restart"/>
            <w:tcBorders>
              <w:top w:val="single" w:color="000000" w:sz="2" w:space="0"/>
            </w:tcBorders>
            <w:shd w:val="clear" w:color="auto" w:fill="auto"/>
            <w:vAlign w:val="top"/>
          </w:tcPr>
          <w:p w14:paraId="0DEA7F63">
            <w:pPr>
              <w:spacing w:line="240" w:lineRule="auto"/>
              <w:rPr>
                <w:rFonts w:ascii="Arial"/>
                <w:sz w:val="24"/>
                <w:szCs w:val="24"/>
              </w:rPr>
            </w:pPr>
          </w:p>
          <w:p w14:paraId="2E615033">
            <w:pPr>
              <w:spacing w:line="240" w:lineRule="auto"/>
              <w:rPr>
                <w:rFonts w:ascii="Arial"/>
                <w:sz w:val="24"/>
                <w:szCs w:val="24"/>
              </w:rPr>
            </w:pPr>
          </w:p>
          <w:p w14:paraId="7DA03B63">
            <w:pPr>
              <w:spacing w:line="240" w:lineRule="auto"/>
              <w:rPr>
                <w:rFonts w:ascii="Arial"/>
                <w:sz w:val="24"/>
                <w:szCs w:val="24"/>
              </w:rPr>
            </w:pPr>
          </w:p>
          <w:p w14:paraId="03599687">
            <w:pPr>
              <w:spacing w:line="240" w:lineRule="auto"/>
              <w:rPr>
                <w:rFonts w:ascii="Arial"/>
                <w:sz w:val="24"/>
                <w:szCs w:val="24"/>
              </w:rPr>
            </w:pPr>
          </w:p>
          <w:p w14:paraId="33F9598B">
            <w:pPr>
              <w:spacing w:line="240" w:lineRule="auto"/>
              <w:rPr>
                <w:rFonts w:ascii="Arial"/>
                <w:sz w:val="24"/>
                <w:szCs w:val="24"/>
              </w:rPr>
            </w:pPr>
          </w:p>
          <w:p w14:paraId="5121F117">
            <w:pPr>
              <w:spacing w:line="240" w:lineRule="auto"/>
              <w:rPr>
                <w:rFonts w:ascii="Arial"/>
                <w:sz w:val="24"/>
                <w:szCs w:val="24"/>
              </w:rPr>
            </w:pPr>
          </w:p>
          <w:p w14:paraId="1EB0ACA6">
            <w:pPr>
              <w:pStyle w:val="437"/>
              <w:spacing w:before="78" w:line="240" w:lineRule="auto"/>
              <w:ind w:left="117" w:leftChars="0" w:right="247" w:rightChars="0"/>
              <w:rPr>
                <w:rFonts w:hint="default" w:ascii="宋体" w:hAnsi="宋体" w:eastAsia="宋体" w:cs="宋体"/>
                <w:sz w:val="24"/>
                <w:szCs w:val="24"/>
                <w:lang w:val="en-US" w:eastAsia="en-US" w:bidi="ar-SA"/>
              </w:rPr>
            </w:pPr>
            <w:r>
              <w:rPr>
                <w:b/>
                <w:bCs/>
                <w:spacing w:val="-9"/>
                <w:sz w:val="24"/>
                <w:szCs w:val="24"/>
              </w:rPr>
              <w:t>草坪</w:t>
            </w:r>
            <w:r>
              <w:rPr>
                <w:sz w:val="24"/>
                <w:szCs w:val="24"/>
              </w:rPr>
              <w:t xml:space="preserve"> </w:t>
            </w:r>
            <w:r>
              <w:rPr>
                <w:b/>
                <w:bCs/>
                <w:spacing w:val="-8"/>
                <w:sz w:val="24"/>
                <w:szCs w:val="24"/>
              </w:rPr>
              <w:t>养护</w:t>
            </w:r>
          </w:p>
        </w:tc>
        <w:tc>
          <w:tcPr>
            <w:tcW w:w="777" w:type="dxa"/>
            <w:vMerge w:val="restart"/>
            <w:tcBorders>
              <w:top w:val="single" w:color="000000" w:sz="2" w:space="0"/>
            </w:tcBorders>
            <w:shd w:val="clear" w:color="auto" w:fill="auto"/>
            <w:vAlign w:val="top"/>
          </w:tcPr>
          <w:p w14:paraId="60D45457">
            <w:pPr>
              <w:spacing w:line="240" w:lineRule="auto"/>
              <w:jc w:val="left"/>
              <w:rPr>
                <w:rFonts w:ascii="Arial"/>
                <w:sz w:val="24"/>
                <w:szCs w:val="24"/>
              </w:rPr>
            </w:pPr>
          </w:p>
          <w:p w14:paraId="62F85606">
            <w:pPr>
              <w:spacing w:line="240" w:lineRule="auto"/>
              <w:jc w:val="left"/>
              <w:rPr>
                <w:rFonts w:ascii="Arial"/>
                <w:sz w:val="24"/>
                <w:szCs w:val="24"/>
              </w:rPr>
            </w:pPr>
          </w:p>
          <w:p w14:paraId="53DE4633">
            <w:pPr>
              <w:spacing w:line="240" w:lineRule="auto"/>
              <w:jc w:val="left"/>
              <w:rPr>
                <w:rFonts w:ascii="Arial"/>
                <w:sz w:val="24"/>
                <w:szCs w:val="24"/>
              </w:rPr>
            </w:pPr>
          </w:p>
          <w:p w14:paraId="6F38E757">
            <w:pPr>
              <w:spacing w:line="240" w:lineRule="auto"/>
              <w:jc w:val="left"/>
              <w:rPr>
                <w:rFonts w:ascii="Arial"/>
                <w:sz w:val="24"/>
                <w:szCs w:val="24"/>
              </w:rPr>
            </w:pPr>
          </w:p>
          <w:p w14:paraId="5CFE9AF4">
            <w:pPr>
              <w:spacing w:line="240" w:lineRule="auto"/>
              <w:jc w:val="left"/>
              <w:rPr>
                <w:rFonts w:ascii="Arial"/>
                <w:sz w:val="24"/>
                <w:szCs w:val="24"/>
              </w:rPr>
            </w:pPr>
          </w:p>
          <w:p w14:paraId="303D904B">
            <w:pPr>
              <w:pStyle w:val="437"/>
              <w:spacing w:before="78" w:line="240" w:lineRule="auto"/>
              <w:ind w:left="130" w:leftChars="0"/>
              <w:jc w:val="left"/>
              <w:rPr>
                <w:rFonts w:hint="default" w:ascii="宋体" w:hAnsi="宋体" w:eastAsia="宋体" w:cs="宋体"/>
                <w:sz w:val="24"/>
                <w:szCs w:val="24"/>
                <w:lang w:val="en-US" w:eastAsia="en-US" w:bidi="ar-SA"/>
              </w:rPr>
            </w:pPr>
            <w:r>
              <w:rPr>
                <w:b/>
                <w:bCs/>
                <w:spacing w:val="-15"/>
                <w:sz w:val="24"/>
                <w:szCs w:val="24"/>
              </w:rPr>
              <w:t>10</w:t>
            </w:r>
          </w:p>
        </w:tc>
        <w:tc>
          <w:tcPr>
            <w:tcW w:w="3878" w:type="dxa"/>
            <w:tcBorders>
              <w:top w:val="single" w:color="000000" w:sz="2" w:space="0"/>
            </w:tcBorders>
            <w:shd w:val="clear" w:color="auto" w:fill="auto"/>
            <w:vAlign w:val="center"/>
          </w:tcPr>
          <w:p w14:paraId="1519D244">
            <w:pPr>
              <w:pStyle w:val="437"/>
              <w:spacing w:before="38" w:line="240" w:lineRule="auto"/>
              <w:ind w:left="112" w:leftChars="0" w:right="41" w:rightChars="0" w:firstLine="17" w:firstLineChars="0"/>
              <w:jc w:val="both"/>
              <w:rPr>
                <w:rFonts w:hint="default" w:ascii="宋体" w:hAnsi="宋体" w:eastAsia="宋体" w:cs="宋体"/>
                <w:sz w:val="24"/>
                <w:szCs w:val="24"/>
                <w:lang w:val="en-US" w:eastAsia="en-US" w:bidi="ar-SA"/>
              </w:rPr>
            </w:pPr>
            <w:r>
              <w:rPr>
                <w:spacing w:val="-21"/>
                <w:sz w:val="24"/>
                <w:szCs w:val="24"/>
              </w:rPr>
              <w:t>1、生长期长势好，草坪绿期长，</w:t>
            </w:r>
            <w:r>
              <w:rPr>
                <w:spacing w:val="-1"/>
                <w:sz w:val="24"/>
                <w:szCs w:val="24"/>
              </w:rPr>
              <w:t>抗旱浇水和雨后排水及时，无</w:t>
            </w:r>
            <w:r>
              <w:rPr>
                <w:spacing w:val="-2"/>
                <w:sz w:val="24"/>
                <w:szCs w:val="24"/>
              </w:rPr>
              <w:t>退化现象。</w:t>
            </w:r>
          </w:p>
        </w:tc>
        <w:tc>
          <w:tcPr>
            <w:tcW w:w="3372" w:type="dxa"/>
            <w:vMerge w:val="restart"/>
            <w:tcBorders>
              <w:top w:val="single" w:color="000000" w:sz="2" w:space="0"/>
            </w:tcBorders>
            <w:shd w:val="clear" w:color="auto" w:fill="auto"/>
            <w:vAlign w:val="center"/>
          </w:tcPr>
          <w:p w14:paraId="4816A9CB">
            <w:pPr>
              <w:spacing w:line="240" w:lineRule="auto"/>
              <w:jc w:val="both"/>
              <w:rPr>
                <w:rFonts w:ascii="Arial"/>
                <w:sz w:val="24"/>
                <w:szCs w:val="24"/>
              </w:rPr>
            </w:pPr>
          </w:p>
          <w:p w14:paraId="4756D457">
            <w:pPr>
              <w:pStyle w:val="437"/>
              <w:spacing w:before="78" w:line="240" w:lineRule="auto"/>
              <w:ind w:left="114" w:leftChars="0" w:right="102" w:rightChars="0" w:firstLine="4" w:firstLineChars="0"/>
              <w:jc w:val="both"/>
              <w:rPr>
                <w:rFonts w:hint="default" w:ascii="宋体" w:hAnsi="宋体" w:eastAsia="宋体" w:cs="宋体"/>
                <w:sz w:val="24"/>
                <w:szCs w:val="24"/>
                <w:lang w:val="en-US" w:eastAsia="en-US" w:bidi="ar-SA"/>
              </w:rPr>
            </w:pPr>
            <w:r>
              <w:rPr>
                <w:spacing w:val="-1"/>
                <w:sz w:val="24"/>
                <w:szCs w:val="24"/>
              </w:rPr>
              <w:t>未及时做好浇水、排水工作致草</w:t>
            </w:r>
            <w:r>
              <w:rPr>
                <w:spacing w:val="-4"/>
                <w:sz w:val="24"/>
                <w:szCs w:val="24"/>
              </w:rPr>
              <w:t>坪生长不良扣</w:t>
            </w:r>
            <w:r>
              <w:rPr>
                <w:spacing w:val="-32"/>
                <w:sz w:val="24"/>
                <w:szCs w:val="24"/>
              </w:rPr>
              <w:t xml:space="preserve"> </w:t>
            </w:r>
            <w:r>
              <w:rPr>
                <w:spacing w:val="-4"/>
                <w:sz w:val="24"/>
                <w:szCs w:val="24"/>
              </w:rPr>
              <w:t>1</w:t>
            </w:r>
            <w:r>
              <w:rPr>
                <w:spacing w:val="-47"/>
                <w:sz w:val="24"/>
                <w:szCs w:val="24"/>
              </w:rPr>
              <w:t xml:space="preserve"> </w:t>
            </w:r>
            <w:r>
              <w:rPr>
                <w:spacing w:val="-4"/>
                <w:sz w:val="24"/>
                <w:szCs w:val="24"/>
              </w:rPr>
              <w:t>分/处；修剪不合格每平方扣</w:t>
            </w:r>
            <w:r>
              <w:rPr>
                <w:spacing w:val="-26"/>
                <w:sz w:val="24"/>
                <w:szCs w:val="24"/>
              </w:rPr>
              <w:t xml:space="preserve"> </w:t>
            </w:r>
            <w:r>
              <w:rPr>
                <w:spacing w:val="-4"/>
                <w:sz w:val="24"/>
                <w:szCs w:val="24"/>
              </w:rPr>
              <w:t>1</w:t>
            </w:r>
            <w:r>
              <w:rPr>
                <w:spacing w:val="-48"/>
                <w:sz w:val="24"/>
                <w:szCs w:val="24"/>
              </w:rPr>
              <w:t xml:space="preserve"> </w:t>
            </w:r>
            <w:r>
              <w:rPr>
                <w:spacing w:val="-4"/>
                <w:sz w:val="24"/>
                <w:szCs w:val="24"/>
              </w:rPr>
              <w:t>分；病虫害防治不</w:t>
            </w:r>
            <w:r>
              <w:rPr>
                <w:spacing w:val="-1"/>
                <w:sz w:val="24"/>
                <w:szCs w:val="24"/>
              </w:rPr>
              <w:t>力造成危害影响景观的每平方扣</w:t>
            </w:r>
            <w:r>
              <w:rPr>
                <w:spacing w:val="-9"/>
                <w:sz w:val="24"/>
                <w:szCs w:val="24"/>
              </w:rPr>
              <w:t>1</w:t>
            </w:r>
            <w:r>
              <w:rPr>
                <w:spacing w:val="-44"/>
                <w:sz w:val="24"/>
                <w:szCs w:val="24"/>
              </w:rPr>
              <w:t xml:space="preserve"> </w:t>
            </w:r>
            <w:r>
              <w:rPr>
                <w:spacing w:val="-9"/>
                <w:sz w:val="24"/>
                <w:szCs w:val="24"/>
              </w:rPr>
              <w:t>分；杂草明显、界线不清扣</w:t>
            </w:r>
            <w:r>
              <w:rPr>
                <w:spacing w:val="-33"/>
                <w:sz w:val="24"/>
                <w:szCs w:val="24"/>
              </w:rPr>
              <w:t xml:space="preserve"> </w:t>
            </w:r>
            <w:r>
              <w:rPr>
                <w:spacing w:val="-9"/>
                <w:sz w:val="24"/>
                <w:szCs w:val="24"/>
              </w:rPr>
              <w:t>1</w:t>
            </w:r>
            <w:r>
              <w:rPr>
                <w:spacing w:val="-47"/>
                <w:sz w:val="24"/>
                <w:szCs w:val="24"/>
              </w:rPr>
              <w:t xml:space="preserve"> </w:t>
            </w:r>
            <w:r>
              <w:rPr>
                <w:spacing w:val="-9"/>
                <w:sz w:val="24"/>
                <w:szCs w:val="24"/>
              </w:rPr>
              <w:t>分</w:t>
            </w:r>
            <w:r>
              <w:rPr>
                <w:spacing w:val="-5"/>
                <w:sz w:val="24"/>
                <w:szCs w:val="24"/>
              </w:rPr>
              <w:t>/处</w:t>
            </w:r>
          </w:p>
        </w:tc>
        <w:tc>
          <w:tcPr>
            <w:tcW w:w="875" w:type="dxa"/>
            <w:vMerge w:val="restart"/>
            <w:tcBorders>
              <w:top w:val="single" w:color="000000" w:sz="2" w:space="0"/>
            </w:tcBorders>
            <w:vAlign w:val="top"/>
          </w:tcPr>
          <w:p w14:paraId="0001EBE3">
            <w:pPr>
              <w:spacing w:line="240" w:lineRule="auto"/>
              <w:rPr>
                <w:rFonts w:ascii="Arial"/>
                <w:sz w:val="24"/>
                <w:szCs w:val="24"/>
              </w:rPr>
            </w:pPr>
          </w:p>
        </w:tc>
      </w:tr>
      <w:tr w14:paraId="7A42ED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39" w:type="dxa"/>
            <w:vMerge w:val="continue"/>
            <w:vAlign w:val="top"/>
          </w:tcPr>
          <w:p w14:paraId="0E0D2F05">
            <w:pPr>
              <w:spacing w:line="240" w:lineRule="auto"/>
              <w:rPr>
                <w:rFonts w:ascii="Arial"/>
                <w:sz w:val="24"/>
                <w:szCs w:val="24"/>
              </w:rPr>
            </w:pPr>
          </w:p>
        </w:tc>
        <w:tc>
          <w:tcPr>
            <w:tcW w:w="777" w:type="dxa"/>
            <w:vMerge w:val="continue"/>
            <w:vAlign w:val="top"/>
          </w:tcPr>
          <w:p w14:paraId="2F77D48F">
            <w:pPr>
              <w:spacing w:line="240" w:lineRule="auto"/>
              <w:rPr>
                <w:rFonts w:ascii="Arial"/>
                <w:sz w:val="24"/>
                <w:szCs w:val="24"/>
              </w:rPr>
            </w:pPr>
          </w:p>
        </w:tc>
        <w:tc>
          <w:tcPr>
            <w:tcW w:w="3878" w:type="dxa"/>
            <w:vAlign w:val="top"/>
          </w:tcPr>
          <w:p w14:paraId="111D4B74">
            <w:pPr>
              <w:pStyle w:val="437"/>
              <w:spacing w:before="35" w:line="240" w:lineRule="auto"/>
              <w:ind w:left="111" w:leftChars="0" w:right="105" w:rightChars="0" w:firstLine="3" w:firstLineChars="0"/>
              <w:jc w:val="both"/>
              <w:rPr>
                <w:spacing w:val="-9"/>
                <w:sz w:val="24"/>
                <w:szCs w:val="24"/>
              </w:rPr>
            </w:pPr>
            <w:r>
              <w:rPr>
                <w:spacing w:val="-9"/>
                <w:sz w:val="24"/>
                <w:szCs w:val="24"/>
              </w:rPr>
              <w:t>2、修剪平整，冬绿型草坪高度</w:t>
            </w:r>
            <w:r>
              <w:rPr>
                <w:spacing w:val="-11"/>
                <w:sz w:val="24"/>
                <w:szCs w:val="24"/>
              </w:rPr>
              <w:t>不超过</w:t>
            </w:r>
            <w:r>
              <w:rPr>
                <w:spacing w:val="-33"/>
                <w:sz w:val="24"/>
                <w:szCs w:val="24"/>
              </w:rPr>
              <w:t xml:space="preserve"> </w:t>
            </w:r>
            <w:r>
              <w:rPr>
                <w:spacing w:val="-11"/>
                <w:sz w:val="24"/>
                <w:szCs w:val="24"/>
              </w:rPr>
              <w:t>10</w:t>
            </w:r>
            <w:r>
              <w:rPr>
                <w:spacing w:val="-48"/>
                <w:sz w:val="24"/>
                <w:szCs w:val="24"/>
              </w:rPr>
              <w:t xml:space="preserve"> </w:t>
            </w:r>
            <w:r>
              <w:rPr>
                <w:spacing w:val="-11"/>
                <w:sz w:val="24"/>
                <w:szCs w:val="24"/>
              </w:rPr>
              <w:t>厘米，夏绿型草坪高</w:t>
            </w:r>
            <w:r>
              <w:rPr>
                <w:spacing w:val="-3"/>
                <w:sz w:val="24"/>
                <w:szCs w:val="24"/>
              </w:rPr>
              <w:t>度不超过</w:t>
            </w:r>
            <w:r>
              <w:rPr>
                <w:spacing w:val="-43"/>
                <w:sz w:val="24"/>
                <w:szCs w:val="24"/>
              </w:rPr>
              <w:t xml:space="preserve"> </w:t>
            </w:r>
            <w:r>
              <w:rPr>
                <w:spacing w:val="-3"/>
                <w:sz w:val="24"/>
                <w:szCs w:val="24"/>
              </w:rPr>
              <w:t>6</w:t>
            </w:r>
            <w:r>
              <w:rPr>
                <w:spacing w:val="-48"/>
                <w:sz w:val="24"/>
                <w:szCs w:val="24"/>
              </w:rPr>
              <w:t xml:space="preserve"> </w:t>
            </w:r>
            <w:r>
              <w:rPr>
                <w:spacing w:val="-3"/>
                <w:sz w:val="24"/>
                <w:szCs w:val="24"/>
              </w:rPr>
              <w:t>厘米，休眠期前作</w:t>
            </w:r>
            <w:r>
              <w:rPr>
                <w:spacing w:val="-2"/>
                <w:sz w:val="24"/>
                <w:szCs w:val="24"/>
              </w:rPr>
              <w:t>较低修剪。</w:t>
            </w:r>
          </w:p>
        </w:tc>
        <w:tc>
          <w:tcPr>
            <w:tcW w:w="3372" w:type="dxa"/>
            <w:vMerge w:val="continue"/>
            <w:vAlign w:val="top"/>
          </w:tcPr>
          <w:p w14:paraId="04D09821">
            <w:pPr>
              <w:spacing w:line="240" w:lineRule="auto"/>
              <w:rPr>
                <w:rFonts w:ascii="Arial"/>
                <w:sz w:val="24"/>
                <w:szCs w:val="24"/>
              </w:rPr>
            </w:pPr>
          </w:p>
        </w:tc>
        <w:tc>
          <w:tcPr>
            <w:tcW w:w="875" w:type="dxa"/>
            <w:vMerge w:val="continue"/>
            <w:vAlign w:val="top"/>
          </w:tcPr>
          <w:p w14:paraId="75467D01">
            <w:pPr>
              <w:spacing w:line="240" w:lineRule="auto"/>
              <w:rPr>
                <w:rFonts w:ascii="Arial"/>
                <w:sz w:val="24"/>
                <w:szCs w:val="24"/>
              </w:rPr>
            </w:pPr>
          </w:p>
        </w:tc>
      </w:tr>
      <w:tr w14:paraId="30844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839" w:type="dxa"/>
            <w:vMerge w:val="continue"/>
            <w:vAlign w:val="top"/>
          </w:tcPr>
          <w:p w14:paraId="6381D048">
            <w:pPr>
              <w:spacing w:line="240" w:lineRule="auto"/>
              <w:rPr>
                <w:rFonts w:ascii="Arial"/>
                <w:sz w:val="24"/>
                <w:szCs w:val="24"/>
              </w:rPr>
            </w:pPr>
          </w:p>
        </w:tc>
        <w:tc>
          <w:tcPr>
            <w:tcW w:w="777" w:type="dxa"/>
            <w:vMerge w:val="continue"/>
            <w:vAlign w:val="top"/>
          </w:tcPr>
          <w:p w14:paraId="6FD1BE3A">
            <w:pPr>
              <w:spacing w:line="240" w:lineRule="auto"/>
              <w:rPr>
                <w:rFonts w:ascii="Arial"/>
                <w:sz w:val="24"/>
                <w:szCs w:val="24"/>
              </w:rPr>
            </w:pPr>
          </w:p>
        </w:tc>
        <w:tc>
          <w:tcPr>
            <w:tcW w:w="3878" w:type="dxa"/>
            <w:vAlign w:val="top"/>
          </w:tcPr>
          <w:p w14:paraId="0A5CCB22">
            <w:pPr>
              <w:pStyle w:val="437"/>
              <w:spacing w:before="37" w:line="240" w:lineRule="auto"/>
              <w:ind w:left="116" w:leftChars="0" w:right="105" w:rightChars="0"/>
              <w:rPr>
                <w:spacing w:val="-9"/>
                <w:sz w:val="24"/>
                <w:szCs w:val="24"/>
              </w:rPr>
            </w:pPr>
            <w:r>
              <w:rPr>
                <w:spacing w:val="-9"/>
                <w:sz w:val="24"/>
                <w:szCs w:val="24"/>
              </w:rPr>
              <w:t>3、草坪无病虫害，无空秃，有</w:t>
            </w:r>
            <w:r>
              <w:rPr>
                <w:spacing w:val="-2"/>
                <w:sz w:val="24"/>
                <w:szCs w:val="24"/>
              </w:rPr>
              <w:t>一定厚度，草根不裸露。</w:t>
            </w:r>
          </w:p>
        </w:tc>
        <w:tc>
          <w:tcPr>
            <w:tcW w:w="3372" w:type="dxa"/>
            <w:vMerge w:val="continue"/>
            <w:vAlign w:val="top"/>
          </w:tcPr>
          <w:p w14:paraId="74DAB809">
            <w:pPr>
              <w:spacing w:line="240" w:lineRule="auto"/>
              <w:rPr>
                <w:rFonts w:ascii="Arial"/>
                <w:sz w:val="24"/>
                <w:szCs w:val="24"/>
              </w:rPr>
            </w:pPr>
          </w:p>
        </w:tc>
        <w:tc>
          <w:tcPr>
            <w:tcW w:w="875" w:type="dxa"/>
            <w:vMerge w:val="continue"/>
            <w:vAlign w:val="top"/>
          </w:tcPr>
          <w:p w14:paraId="0B2B95CF">
            <w:pPr>
              <w:spacing w:line="240" w:lineRule="auto"/>
              <w:rPr>
                <w:rFonts w:ascii="Arial"/>
                <w:sz w:val="24"/>
                <w:szCs w:val="24"/>
              </w:rPr>
            </w:pPr>
          </w:p>
        </w:tc>
      </w:tr>
      <w:tr w14:paraId="4C4C4E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6" w:hRule="atLeast"/>
          <w:jc w:val="center"/>
        </w:trPr>
        <w:tc>
          <w:tcPr>
            <w:tcW w:w="839" w:type="dxa"/>
            <w:vMerge w:val="continue"/>
            <w:vAlign w:val="top"/>
          </w:tcPr>
          <w:p w14:paraId="19BA2AD0">
            <w:pPr>
              <w:spacing w:line="240" w:lineRule="auto"/>
              <w:rPr>
                <w:rFonts w:ascii="Arial"/>
                <w:sz w:val="24"/>
                <w:szCs w:val="24"/>
              </w:rPr>
            </w:pPr>
          </w:p>
        </w:tc>
        <w:tc>
          <w:tcPr>
            <w:tcW w:w="777" w:type="dxa"/>
            <w:vMerge w:val="continue"/>
            <w:vAlign w:val="top"/>
          </w:tcPr>
          <w:p w14:paraId="3182313E">
            <w:pPr>
              <w:spacing w:line="240" w:lineRule="auto"/>
              <w:rPr>
                <w:rFonts w:ascii="Arial"/>
                <w:sz w:val="24"/>
                <w:szCs w:val="24"/>
              </w:rPr>
            </w:pPr>
          </w:p>
        </w:tc>
        <w:tc>
          <w:tcPr>
            <w:tcW w:w="3878" w:type="dxa"/>
            <w:vAlign w:val="top"/>
          </w:tcPr>
          <w:p w14:paraId="0106E825">
            <w:pPr>
              <w:pStyle w:val="437"/>
              <w:spacing w:before="37" w:line="240" w:lineRule="auto"/>
              <w:ind w:left="113" w:leftChars="0" w:right="105" w:rightChars="0" w:hanging="2" w:firstLineChars="0"/>
              <w:rPr>
                <w:spacing w:val="-9"/>
                <w:sz w:val="24"/>
                <w:szCs w:val="24"/>
              </w:rPr>
            </w:pPr>
            <w:r>
              <w:rPr>
                <w:spacing w:val="-9"/>
                <w:sz w:val="24"/>
                <w:szCs w:val="24"/>
              </w:rPr>
              <w:t>4、无杂草，与绿篱色块、地被</w:t>
            </w:r>
            <w:r>
              <w:rPr>
                <w:spacing w:val="-2"/>
                <w:sz w:val="24"/>
                <w:szCs w:val="24"/>
              </w:rPr>
              <w:t>之间界线清晰。</w:t>
            </w:r>
          </w:p>
        </w:tc>
        <w:tc>
          <w:tcPr>
            <w:tcW w:w="3372" w:type="dxa"/>
            <w:vMerge w:val="continue"/>
            <w:vAlign w:val="top"/>
          </w:tcPr>
          <w:p w14:paraId="3D3D26B5">
            <w:pPr>
              <w:spacing w:line="240" w:lineRule="auto"/>
              <w:rPr>
                <w:rFonts w:ascii="Arial"/>
                <w:sz w:val="24"/>
                <w:szCs w:val="24"/>
              </w:rPr>
            </w:pPr>
          </w:p>
        </w:tc>
        <w:tc>
          <w:tcPr>
            <w:tcW w:w="875" w:type="dxa"/>
            <w:vMerge w:val="continue"/>
            <w:vAlign w:val="top"/>
          </w:tcPr>
          <w:p w14:paraId="36409218">
            <w:pPr>
              <w:spacing w:line="240" w:lineRule="auto"/>
              <w:rPr>
                <w:rFonts w:ascii="Arial"/>
                <w:sz w:val="24"/>
                <w:szCs w:val="24"/>
              </w:rPr>
            </w:pPr>
          </w:p>
        </w:tc>
      </w:tr>
    </w:tbl>
    <w:p w14:paraId="15FFE9C4">
      <w:pPr>
        <w:spacing w:line="240" w:lineRule="auto"/>
        <w:rPr>
          <w:rFonts w:ascii="Arial"/>
          <w:sz w:val="24"/>
          <w:szCs w:val="24"/>
        </w:rPr>
      </w:pPr>
      <w:r>
        <w:rPr>
          <w:rFonts w:ascii="Arial"/>
          <w:sz w:val="24"/>
          <w:szCs w:val="24"/>
        </w:rPr>
        <w:br w:type="page"/>
      </w:r>
    </w:p>
    <w:p w14:paraId="6188DCDE">
      <w:pPr>
        <w:spacing w:line="240" w:lineRule="auto"/>
        <w:rPr>
          <w:rFonts w:ascii="Arial"/>
          <w:sz w:val="24"/>
          <w:szCs w:val="24"/>
        </w:rPr>
      </w:pPr>
    </w:p>
    <w:tbl>
      <w:tblPr>
        <w:tblStyle w:val="429"/>
        <w:tblpPr w:leftFromText="180" w:rightFromText="180" w:vertAnchor="text" w:horzAnchor="page" w:tblpXSpec="center" w:tblpY="228"/>
        <w:tblOverlap w:val="never"/>
        <w:tblW w:w="1004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777"/>
        <w:gridCol w:w="3348"/>
        <w:gridCol w:w="2753"/>
        <w:gridCol w:w="1194"/>
        <w:gridCol w:w="1135"/>
      </w:tblGrid>
      <w:tr w14:paraId="0E766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77" w:hRule="atLeast"/>
          <w:jc w:val="center"/>
        </w:trPr>
        <w:tc>
          <w:tcPr>
            <w:tcW w:w="839" w:type="dxa"/>
            <w:vMerge w:val="restart"/>
            <w:tcBorders>
              <w:bottom w:val="nil"/>
            </w:tcBorders>
            <w:vAlign w:val="top"/>
          </w:tcPr>
          <w:p w14:paraId="5E245C42">
            <w:pPr>
              <w:spacing w:line="240" w:lineRule="auto"/>
              <w:rPr>
                <w:rFonts w:ascii="Arial"/>
                <w:sz w:val="24"/>
                <w:szCs w:val="24"/>
              </w:rPr>
            </w:pPr>
          </w:p>
          <w:p w14:paraId="5A62E215">
            <w:pPr>
              <w:spacing w:line="240" w:lineRule="auto"/>
              <w:rPr>
                <w:rFonts w:ascii="Arial"/>
                <w:sz w:val="24"/>
                <w:szCs w:val="24"/>
              </w:rPr>
            </w:pPr>
          </w:p>
          <w:p w14:paraId="01A4C6E3">
            <w:pPr>
              <w:spacing w:line="240" w:lineRule="auto"/>
              <w:rPr>
                <w:rFonts w:ascii="Arial"/>
                <w:sz w:val="24"/>
                <w:szCs w:val="24"/>
              </w:rPr>
            </w:pPr>
          </w:p>
          <w:p w14:paraId="5F186DF0">
            <w:pPr>
              <w:spacing w:line="240" w:lineRule="auto"/>
              <w:rPr>
                <w:rFonts w:ascii="Arial"/>
                <w:sz w:val="24"/>
                <w:szCs w:val="24"/>
              </w:rPr>
            </w:pPr>
          </w:p>
          <w:p w14:paraId="364956C3">
            <w:pPr>
              <w:spacing w:line="240" w:lineRule="auto"/>
              <w:rPr>
                <w:rFonts w:ascii="Arial"/>
                <w:sz w:val="24"/>
                <w:szCs w:val="24"/>
              </w:rPr>
            </w:pPr>
          </w:p>
          <w:p w14:paraId="550A1663">
            <w:pPr>
              <w:spacing w:line="240" w:lineRule="auto"/>
              <w:rPr>
                <w:rFonts w:ascii="Arial"/>
                <w:sz w:val="24"/>
                <w:szCs w:val="24"/>
              </w:rPr>
            </w:pPr>
          </w:p>
          <w:p w14:paraId="7D83D9A3">
            <w:pPr>
              <w:spacing w:line="240" w:lineRule="auto"/>
              <w:rPr>
                <w:rFonts w:ascii="Arial"/>
                <w:sz w:val="24"/>
                <w:szCs w:val="24"/>
              </w:rPr>
            </w:pPr>
          </w:p>
          <w:p w14:paraId="1CDC5017">
            <w:pPr>
              <w:spacing w:line="240" w:lineRule="auto"/>
              <w:rPr>
                <w:rFonts w:ascii="Arial"/>
                <w:sz w:val="24"/>
                <w:szCs w:val="24"/>
              </w:rPr>
            </w:pPr>
          </w:p>
          <w:p w14:paraId="5CC78EE0">
            <w:pPr>
              <w:spacing w:line="240" w:lineRule="auto"/>
              <w:rPr>
                <w:rFonts w:ascii="Arial"/>
                <w:sz w:val="24"/>
                <w:szCs w:val="24"/>
              </w:rPr>
            </w:pPr>
          </w:p>
          <w:p w14:paraId="0794F588">
            <w:pPr>
              <w:pStyle w:val="437"/>
              <w:spacing w:before="78" w:line="240" w:lineRule="auto"/>
              <w:ind w:left="117" w:right="247"/>
              <w:jc w:val="both"/>
              <w:rPr>
                <w:sz w:val="24"/>
                <w:szCs w:val="24"/>
              </w:rPr>
            </w:pPr>
            <w:r>
              <w:rPr>
                <w:b/>
                <w:bCs/>
                <w:spacing w:val="-8"/>
                <w:sz w:val="24"/>
                <w:szCs w:val="24"/>
              </w:rPr>
              <w:t>乔灌</w:t>
            </w:r>
            <w:r>
              <w:rPr>
                <w:sz w:val="24"/>
                <w:szCs w:val="24"/>
              </w:rPr>
              <w:t xml:space="preserve"> </w:t>
            </w:r>
            <w:r>
              <w:rPr>
                <w:b/>
                <w:bCs/>
                <w:spacing w:val="-8"/>
                <w:sz w:val="24"/>
                <w:szCs w:val="24"/>
              </w:rPr>
              <w:t>木养</w:t>
            </w:r>
            <w:r>
              <w:rPr>
                <w:sz w:val="24"/>
                <w:szCs w:val="24"/>
              </w:rPr>
              <w:t xml:space="preserve"> </w:t>
            </w:r>
            <w:r>
              <w:rPr>
                <w:b/>
                <w:bCs/>
                <w:spacing w:val="-3"/>
                <w:sz w:val="24"/>
                <w:szCs w:val="24"/>
              </w:rPr>
              <w:t>护</w:t>
            </w:r>
          </w:p>
        </w:tc>
        <w:tc>
          <w:tcPr>
            <w:tcW w:w="777" w:type="dxa"/>
            <w:vMerge w:val="restart"/>
            <w:tcBorders>
              <w:bottom w:val="nil"/>
            </w:tcBorders>
            <w:vAlign w:val="top"/>
          </w:tcPr>
          <w:p w14:paraId="5ABE0C11">
            <w:pPr>
              <w:spacing w:line="240" w:lineRule="auto"/>
              <w:rPr>
                <w:rFonts w:ascii="Arial"/>
                <w:sz w:val="24"/>
                <w:szCs w:val="24"/>
              </w:rPr>
            </w:pPr>
          </w:p>
          <w:p w14:paraId="7007EAAA">
            <w:pPr>
              <w:spacing w:line="240" w:lineRule="auto"/>
              <w:rPr>
                <w:rFonts w:ascii="Arial"/>
                <w:sz w:val="24"/>
                <w:szCs w:val="24"/>
              </w:rPr>
            </w:pPr>
          </w:p>
          <w:p w14:paraId="6D72882B">
            <w:pPr>
              <w:spacing w:line="240" w:lineRule="auto"/>
              <w:rPr>
                <w:rFonts w:ascii="Arial"/>
                <w:sz w:val="24"/>
                <w:szCs w:val="24"/>
              </w:rPr>
            </w:pPr>
          </w:p>
          <w:p w14:paraId="505E4114">
            <w:pPr>
              <w:spacing w:line="240" w:lineRule="auto"/>
              <w:rPr>
                <w:rFonts w:ascii="Arial"/>
                <w:sz w:val="24"/>
                <w:szCs w:val="24"/>
              </w:rPr>
            </w:pPr>
          </w:p>
          <w:p w14:paraId="0D2D313A">
            <w:pPr>
              <w:spacing w:line="240" w:lineRule="auto"/>
              <w:rPr>
                <w:rFonts w:ascii="Arial"/>
                <w:sz w:val="24"/>
                <w:szCs w:val="24"/>
              </w:rPr>
            </w:pPr>
          </w:p>
          <w:p w14:paraId="752C07F5">
            <w:pPr>
              <w:spacing w:line="240" w:lineRule="auto"/>
              <w:rPr>
                <w:rFonts w:ascii="Arial"/>
                <w:sz w:val="24"/>
                <w:szCs w:val="24"/>
              </w:rPr>
            </w:pPr>
          </w:p>
          <w:p w14:paraId="15C61A81">
            <w:pPr>
              <w:spacing w:line="240" w:lineRule="auto"/>
              <w:rPr>
                <w:rFonts w:ascii="Arial"/>
                <w:sz w:val="24"/>
                <w:szCs w:val="24"/>
              </w:rPr>
            </w:pPr>
          </w:p>
          <w:p w14:paraId="2EA467AE">
            <w:pPr>
              <w:spacing w:line="240" w:lineRule="auto"/>
              <w:rPr>
                <w:rFonts w:ascii="Arial"/>
                <w:sz w:val="24"/>
                <w:szCs w:val="24"/>
              </w:rPr>
            </w:pPr>
          </w:p>
          <w:p w14:paraId="3D5DCF7F">
            <w:pPr>
              <w:spacing w:line="240" w:lineRule="auto"/>
              <w:rPr>
                <w:rFonts w:ascii="Arial"/>
                <w:sz w:val="24"/>
                <w:szCs w:val="24"/>
              </w:rPr>
            </w:pPr>
          </w:p>
          <w:p w14:paraId="076ECC31">
            <w:pPr>
              <w:spacing w:line="240" w:lineRule="auto"/>
              <w:rPr>
                <w:rFonts w:ascii="Arial"/>
                <w:sz w:val="24"/>
                <w:szCs w:val="24"/>
              </w:rPr>
            </w:pPr>
          </w:p>
          <w:p w14:paraId="6ECF0B86">
            <w:pPr>
              <w:spacing w:line="240" w:lineRule="auto"/>
              <w:rPr>
                <w:rFonts w:ascii="Arial"/>
                <w:sz w:val="24"/>
                <w:szCs w:val="24"/>
              </w:rPr>
            </w:pPr>
          </w:p>
          <w:p w14:paraId="3219ECC3">
            <w:pPr>
              <w:pStyle w:val="437"/>
              <w:spacing w:before="78" w:line="240" w:lineRule="auto"/>
              <w:ind w:left="115"/>
              <w:rPr>
                <w:sz w:val="24"/>
                <w:szCs w:val="24"/>
              </w:rPr>
            </w:pPr>
            <w:r>
              <w:rPr>
                <w:b/>
                <w:bCs/>
                <w:spacing w:val="-8"/>
                <w:sz w:val="24"/>
                <w:szCs w:val="24"/>
              </w:rPr>
              <w:t>20</w:t>
            </w:r>
          </w:p>
        </w:tc>
        <w:tc>
          <w:tcPr>
            <w:tcW w:w="3348" w:type="dxa"/>
            <w:vAlign w:val="top"/>
          </w:tcPr>
          <w:p w14:paraId="7744A240">
            <w:pPr>
              <w:pStyle w:val="437"/>
              <w:spacing w:before="36" w:line="240" w:lineRule="auto"/>
              <w:ind w:left="113" w:right="23" w:firstLine="16"/>
              <w:jc w:val="both"/>
              <w:rPr>
                <w:sz w:val="24"/>
                <w:szCs w:val="24"/>
              </w:rPr>
            </w:pPr>
            <w:r>
              <w:rPr>
                <w:spacing w:val="-10"/>
                <w:sz w:val="24"/>
                <w:szCs w:val="24"/>
              </w:rPr>
              <w:t>1、树木生长正常，无死树、断</w:t>
            </w:r>
            <w:r>
              <w:rPr>
                <w:spacing w:val="-1"/>
                <w:sz w:val="24"/>
                <w:szCs w:val="24"/>
              </w:rPr>
              <w:t>枝及明显枯死枝，无倾斜、歪</w:t>
            </w:r>
            <w:r>
              <w:rPr>
                <w:spacing w:val="-12"/>
                <w:sz w:val="24"/>
                <w:szCs w:val="24"/>
              </w:rPr>
              <w:t>倒现象，绿篱色块基本无空缺。</w:t>
            </w:r>
          </w:p>
        </w:tc>
        <w:tc>
          <w:tcPr>
            <w:tcW w:w="3947" w:type="dxa"/>
            <w:gridSpan w:val="2"/>
            <w:vMerge w:val="restart"/>
            <w:tcBorders>
              <w:bottom w:val="nil"/>
            </w:tcBorders>
            <w:vAlign w:val="top"/>
          </w:tcPr>
          <w:p w14:paraId="64B534BA">
            <w:pPr>
              <w:pStyle w:val="437"/>
              <w:spacing w:before="78" w:line="240" w:lineRule="auto"/>
              <w:ind w:left="114" w:right="102" w:firstLine="4"/>
              <w:jc w:val="both"/>
              <w:rPr>
                <w:spacing w:val="-1"/>
                <w:sz w:val="24"/>
                <w:szCs w:val="24"/>
              </w:rPr>
            </w:pPr>
          </w:p>
          <w:p w14:paraId="487AC680">
            <w:pPr>
              <w:pStyle w:val="437"/>
              <w:spacing w:before="78" w:line="240" w:lineRule="auto"/>
              <w:ind w:left="114" w:right="102" w:firstLine="4"/>
              <w:jc w:val="both"/>
              <w:rPr>
                <w:spacing w:val="-1"/>
                <w:sz w:val="24"/>
                <w:szCs w:val="24"/>
              </w:rPr>
            </w:pPr>
            <w:r>
              <w:rPr>
                <w:spacing w:val="-1"/>
                <w:sz w:val="24"/>
                <w:szCs w:val="24"/>
              </w:rPr>
              <w:t>管护不到位，未及时做好浇水、排水工作致苗木死亡的扣 5 分/处；歪斜树不及时扶正、死树、枯枝、断枝不及时处理扣 1 分/株。 修剪、清理不及时及修剪手法过  重扣 1 分/处；绿篱色块成片死亡 未及时补缺到位扣 1 分/处。出现 病虫害症状，防治不力的扣 1 分/ 次，造成严重危害的扣 2 分/次， 造成一定范围植株死亡的扣5 分/ 次。</w:t>
            </w:r>
          </w:p>
          <w:p w14:paraId="7BB50EC6">
            <w:pPr>
              <w:pStyle w:val="437"/>
              <w:spacing w:before="78" w:line="240" w:lineRule="auto"/>
              <w:ind w:left="114" w:right="102" w:firstLine="4"/>
              <w:jc w:val="both"/>
              <w:rPr>
                <w:sz w:val="24"/>
                <w:szCs w:val="24"/>
              </w:rPr>
            </w:pPr>
            <w:r>
              <w:rPr>
                <w:spacing w:val="-1"/>
                <w:sz w:val="24"/>
                <w:szCs w:val="24"/>
              </w:rPr>
              <w:t>发现明显杂草、杂树扣 1 分/处。</w:t>
            </w:r>
          </w:p>
        </w:tc>
        <w:tc>
          <w:tcPr>
            <w:tcW w:w="1135" w:type="dxa"/>
            <w:vMerge w:val="restart"/>
            <w:tcBorders>
              <w:bottom w:val="nil"/>
            </w:tcBorders>
            <w:vAlign w:val="top"/>
          </w:tcPr>
          <w:p w14:paraId="2EABFAA4">
            <w:pPr>
              <w:spacing w:line="240" w:lineRule="auto"/>
              <w:rPr>
                <w:rFonts w:ascii="Arial"/>
                <w:sz w:val="24"/>
                <w:szCs w:val="24"/>
              </w:rPr>
            </w:pPr>
          </w:p>
        </w:tc>
      </w:tr>
      <w:tr w14:paraId="3D831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73" w:hRule="atLeast"/>
          <w:jc w:val="center"/>
        </w:trPr>
        <w:tc>
          <w:tcPr>
            <w:tcW w:w="839" w:type="dxa"/>
            <w:vMerge w:val="continue"/>
            <w:tcBorders>
              <w:top w:val="nil"/>
              <w:bottom w:val="nil"/>
            </w:tcBorders>
            <w:vAlign w:val="top"/>
          </w:tcPr>
          <w:p w14:paraId="0D4B800E">
            <w:pPr>
              <w:spacing w:line="240" w:lineRule="auto"/>
              <w:rPr>
                <w:rFonts w:ascii="Arial"/>
                <w:sz w:val="24"/>
                <w:szCs w:val="24"/>
              </w:rPr>
            </w:pPr>
          </w:p>
        </w:tc>
        <w:tc>
          <w:tcPr>
            <w:tcW w:w="777" w:type="dxa"/>
            <w:vMerge w:val="continue"/>
            <w:tcBorders>
              <w:top w:val="nil"/>
              <w:bottom w:val="nil"/>
            </w:tcBorders>
            <w:vAlign w:val="top"/>
          </w:tcPr>
          <w:p w14:paraId="319268D5">
            <w:pPr>
              <w:spacing w:line="240" w:lineRule="auto"/>
              <w:rPr>
                <w:rFonts w:ascii="Arial"/>
                <w:sz w:val="24"/>
                <w:szCs w:val="24"/>
              </w:rPr>
            </w:pPr>
          </w:p>
        </w:tc>
        <w:tc>
          <w:tcPr>
            <w:tcW w:w="3348" w:type="dxa"/>
            <w:vAlign w:val="top"/>
          </w:tcPr>
          <w:p w14:paraId="7C8727CA">
            <w:pPr>
              <w:pStyle w:val="437"/>
              <w:spacing w:before="42" w:line="240" w:lineRule="auto"/>
              <w:ind w:left="110" w:right="24" w:firstLine="5"/>
              <w:jc w:val="both"/>
              <w:rPr>
                <w:sz w:val="24"/>
                <w:szCs w:val="24"/>
              </w:rPr>
            </w:pPr>
            <w:r>
              <w:rPr>
                <w:spacing w:val="-9"/>
                <w:sz w:val="24"/>
                <w:szCs w:val="24"/>
              </w:rPr>
              <w:t>2、树木的修剪符合景观观赏要</w:t>
            </w:r>
            <w:r>
              <w:rPr>
                <w:spacing w:val="-11"/>
                <w:sz w:val="24"/>
                <w:szCs w:val="24"/>
              </w:rPr>
              <w:t>求，乔木根部无萌孽枝，绿篱、</w:t>
            </w:r>
            <w:r>
              <w:rPr>
                <w:spacing w:val="-1"/>
                <w:sz w:val="24"/>
                <w:szCs w:val="24"/>
              </w:rPr>
              <w:t>色块修剪及时到位，垂直绿化牵引、绑扎到位。</w:t>
            </w:r>
          </w:p>
        </w:tc>
        <w:tc>
          <w:tcPr>
            <w:tcW w:w="3947" w:type="dxa"/>
            <w:gridSpan w:val="2"/>
            <w:vMerge w:val="continue"/>
            <w:tcBorders>
              <w:top w:val="nil"/>
              <w:bottom w:val="nil"/>
            </w:tcBorders>
            <w:vAlign w:val="top"/>
          </w:tcPr>
          <w:p w14:paraId="0E99788C">
            <w:pPr>
              <w:spacing w:line="240" w:lineRule="auto"/>
              <w:rPr>
                <w:rFonts w:ascii="Arial"/>
                <w:sz w:val="24"/>
                <w:szCs w:val="24"/>
              </w:rPr>
            </w:pPr>
          </w:p>
        </w:tc>
        <w:tc>
          <w:tcPr>
            <w:tcW w:w="1135" w:type="dxa"/>
            <w:vMerge w:val="continue"/>
            <w:tcBorders>
              <w:top w:val="nil"/>
              <w:bottom w:val="nil"/>
            </w:tcBorders>
            <w:vAlign w:val="top"/>
          </w:tcPr>
          <w:p w14:paraId="7E1445C8">
            <w:pPr>
              <w:spacing w:line="240" w:lineRule="auto"/>
              <w:rPr>
                <w:rFonts w:ascii="Arial"/>
                <w:sz w:val="24"/>
                <w:szCs w:val="24"/>
              </w:rPr>
            </w:pPr>
          </w:p>
        </w:tc>
      </w:tr>
      <w:tr w14:paraId="5E4802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29" w:hRule="atLeast"/>
          <w:jc w:val="center"/>
        </w:trPr>
        <w:tc>
          <w:tcPr>
            <w:tcW w:w="839" w:type="dxa"/>
            <w:vMerge w:val="continue"/>
            <w:tcBorders>
              <w:top w:val="nil"/>
              <w:bottom w:val="nil"/>
            </w:tcBorders>
            <w:vAlign w:val="top"/>
          </w:tcPr>
          <w:p w14:paraId="6654ABD3">
            <w:pPr>
              <w:spacing w:line="240" w:lineRule="auto"/>
              <w:rPr>
                <w:rFonts w:ascii="Arial"/>
                <w:sz w:val="24"/>
                <w:szCs w:val="24"/>
              </w:rPr>
            </w:pPr>
          </w:p>
        </w:tc>
        <w:tc>
          <w:tcPr>
            <w:tcW w:w="777" w:type="dxa"/>
            <w:vMerge w:val="continue"/>
            <w:tcBorders>
              <w:top w:val="nil"/>
              <w:bottom w:val="nil"/>
            </w:tcBorders>
            <w:vAlign w:val="top"/>
          </w:tcPr>
          <w:p w14:paraId="1442BFA2">
            <w:pPr>
              <w:spacing w:line="240" w:lineRule="auto"/>
              <w:rPr>
                <w:rFonts w:ascii="Arial"/>
                <w:sz w:val="24"/>
                <w:szCs w:val="24"/>
              </w:rPr>
            </w:pPr>
          </w:p>
        </w:tc>
        <w:tc>
          <w:tcPr>
            <w:tcW w:w="3348" w:type="dxa"/>
            <w:vAlign w:val="top"/>
          </w:tcPr>
          <w:p w14:paraId="6E912461">
            <w:pPr>
              <w:pStyle w:val="437"/>
              <w:spacing w:before="40" w:line="240" w:lineRule="auto"/>
              <w:ind w:left="111" w:right="41" w:firstLine="5"/>
              <w:jc w:val="both"/>
              <w:rPr>
                <w:sz w:val="24"/>
                <w:szCs w:val="24"/>
              </w:rPr>
            </w:pPr>
            <w:r>
              <w:rPr>
                <w:spacing w:val="-20"/>
                <w:sz w:val="24"/>
                <w:szCs w:val="24"/>
              </w:rPr>
              <w:t>3、树木病虫害防治及时、有效，</w:t>
            </w:r>
            <w:r>
              <w:rPr>
                <w:spacing w:val="-1"/>
                <w:sz w:val="24"/>
                <w:szCs w:val="24"/>
              </w:rPr>
              <w:t>蛀干害虫&lt;3%,食叶性害虫&lt;5%,刺吸性害虫&lt;10%。</w:t>
            </w:r>
          </w:p>
        </w:tc>
        <w:tc>
          <w:tcPr>
            <w:tcW w:w="3947" w:type="dxa"/>
            <w:gridSpan w:val="2"/>
            <w:vMerge w:val="continue"/>
            <w:tcBorders>
              <w:top w:val="nil"/>
              <w:bottom w:val="nil"/>
            </w:tcBorders>
            <w:vAlign w:val="top"/>
          </w:tcPr>
          <w:p w14:paraId="51D05020">
            <w:pPr>
              <w:spacing w:line="240" w:lineRule="auto"/>
              <w:rPr>
                <w:rFonts w:ascii="Arial"/>
                <w:sz w:val="24"/>
                <w:szCs w:val="24"/>
              </w:rPr>
            </w:pPr>
          </w:p>
        </w:tc>
        <w:tc>
          <w:tcPr>
            <w:tcW w:w="1135" w:type="dxa"/>
            <w:vMerge w:val="continue"/>
            <w:tcBorders>
              <w:top w:val="nil"/>
              <w:bottom w:val="nil"/>
            </w:tcBorders>
            <w:vAlign w:val="top"/>
          </w:tcPr>
          <w:p w14:paraId="38241FD4">
            <w:pPr>
              <w:spacing w:line="240" w:lineRule="auto"/>
              <w:rPr>
                <w:rFonts w:ascii="Arial"/>
                <w:sz w:val="24"/>
                <w:szCs w:val="24"/>
              </w:rPr>
            </w:pPr>
          </w:p>
        </w:tc>
      </w:tr>
      <w:tr w14:paraId="3B809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00" w:hRule="atLeast"/>
          <w:jc w:val="center"/>
        </w:trPr>
        <w:tc>
          <w:tcPr>
            <w:tcW w:w="839" w:type="dxa"/>
            <w:vMerge w:val="continue"/>
            <w:tcBorders>
              <w:top w:val="nil"/>
            </w:tcBorders>
            <w:vAlign w:val="top"/>
          </w:tcPr>
          <w:p w14:paraId="60FBDBCA">
            <w:pPr>
              <w:spacing w:line="240" w:lineRule="auto"/>
              <w:rPr>
                <w:rFonts w:ascii="Arial"/>
                <w:sz w:val="24"/>
                <w:szCs w:val="24"/>
              </w:rPr>
            </w:pPr>
          </w:p>
        </w:tc>
        <w:tc>
          <w:tcPr>
            <w:tcW w:w="777" w:type="dxa"/>
            <w:vMerge w:val="continue"/>
            <w:tcBorders>
              <w:top w:val="nil"/>
            </w:tcBorders>
            <w:vAlign w:val="top"/>
          </w:tcPr>
          <w:p w14:paraId="0B79F508">
            <w:pPr>
              <w:spacing w:line="240" w:lineRule="auto"/>
              <w:rPr>
                <w:rFonts w:ascii="Arial"/>
                <w:sz w:val="24"/>
                <w:szCs w:val="24"/>
              </w:rPr>
            </w:pPr>
          </w:p>
        </w:tc>
        <w:tc>
          <w:tcPr>
            <w:tcW w:w="3348" w:type="dxa"/>
            <w:vAlign w:val="top"/>
          </w:tcPr>
          <w:p w14:paraId="02EC974D">
            <w:pPr>
              <w:pStyle w:val="437"/>
              <w:spacing w:before="42" w:line="240" w:lineRule="auto"/>
              <w:ind w:left="111" w:right="105"/>
              <w:jc w:val="both"/>
              <w:rPr>
                <w:sz w:val="24"/>
                <w:szCs w:val="24"/>
              </w:rPr>
            </w:pPr>
            <w:r>
              <w:rPr>
                <w:spacing w:val="-9"/>
                <w:sz w:val="24"/>
                <w:szCs w:val="24"/>
              </w:rPr>
              <w:t>4、绿地内无大型杂草、无缠绕</w:t>
            </w:r>
            <w:r>
              <w:rPr>
                <w:spacing w:val="10"/>
                <w:sz w:val="24"/>
                <w:szCs w:val="24"/>
              </w:rPr>
              <w:t xml:space="preserve"> </w:t>
            </w:r>
            <w:r>
              <w:rPr>
                <w:spacing w:val="-1"/>
                <w:sz w:val="24"/>
                <w:szCs w:val="24"/>
              </w:rPr>
              <w:t>性、攀缘性杂草，无乱牵乱挂现象，杂树、树桩清除及时。</w:t>
            </w:r>
          </w:p>
        </w:tc>
        <w:tc>
          <w:tcPr>
            <w:tcW w:w="3947" w:type="dxa"/>
            <w:gridSpan w:val="2"/>
            <w:vMerge w:val="continue"/>
            <w:tcBorders>
              <w:top w:val="nil"/>
            </w:tcBorders>
            <w:vAlign w:val="top"/>
          </w:tcPr>
          <w:p w14:paraId="5C9BE166">
            <w:pPr>
              <w:spacing w:line="240" w:lineRule="auto"/>
              <w:rPr>
                <w:rFonts w:ascii="Arial"/>
                <w:sz w:val="24"/>
                <w:szCs w:val="24"/>
              </w:rPr>
            </w:pPr>
          </w:p>
        </w:tc>
        <w:tc>
          <w:tcPr>
            <w:tcW w:w="1135" w:type="dxa"/>
            <w:vMerge w:val="continue"/>
            <w:tcBorders>
              <w:top w:val="nil"/>
            </w:tcBorders>
            <w:vAlign w:val="top"/>
          </w:tcPr>
          <w:p w14:paraId="3DE9F3B9">
            <w:pPr>
              <w:spacing w:line="240" w:lineRule="auto"/>
              <w:rPr>
                <w:rFonts w:ascii="Arial"/>
                <w:sz w:val="24"/>
                <w:szCs w:val="24"/>
              </w:rPr>
            </w:pPr>
          </w:p>
        </w:tc>
      </w:tr>
      <w:tr w14:paraId="3BAB3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98" w:hRule="atLeast"/>
          <w:jc w:val="center"/>
        </w:trPr>
        <w:tc>
          <w:tcPr>
            <w:tcW w:w="839" w:type="dxa"/>
            <w:vMerge w:val="restart"/>
            <w:vAlign w:val="top"/>
          </w:tcPr>
          <w:p w14:paraId="7B7E1BF6">
            <w:pPr>
              <w:spacing w:line="240" w:lineRule="auto"/>
              <w:rPr>
                <w:rFonts w:ascii="Arial"/>
                <w:sz w:val="24"/>
                <w:szCs w:val="24"/>
              </w:rPr>
            </w:pPr>
          </w:p>
          <w:p w14:paraId="11D54799">
            <w:pPr>
              <w:pStyle w:val="437"/>
              <w:spacing w:before="78" w:line="240" w:lineRule="auto"/>
              <w:ind w:left="120" w:right="247"/>
              <w:rPr>
                <w:sz w:val="24"/>
                <w:szCs w:val="24"/>
              </w:rPr>
            </w:pPr>
            <w:r>
              <w:rPr>
                <w:b/>
                <w:bCs/>
                <w:spacing w:val="-10"/>
                <w:sz w:val="24"/>
                <w:szCs w:val="24"/>
              </w:rPr>
              <w:t>设施</w:t>
            </w:r>
            <w:r>
              <w:rPr>
                <w:sz w:val="24"/>
                <w:szCs w:val="24"/>
              </w:rPr>
              <w:t xml:space="preserve"> </w:t>
            </w:r>
            <w:r>
              <w:rPr>
                <w:b/>
                <w:bCs/>
                <w:spacing w:val="-10"/>
                <w:sz w:val="24"/>
                <w:szCs w:val="24"/>
              </w:rPr>
              <w:t>维护</w:t>
            </w:r>
          </w:p>
        </w:tc>
        <w:tc>
          <w:tcPr>
            <w:tcW w:w="777" w:type="dxa"/>
            <w:vMerge w:val="restart"/>
            <w:vAlign w:val="top"/>
          </w:tcPr>
          <w:p w14:paraId="2C9F194F">
            <w:pPr>
              <w:spacing w:line="240" w:lineRule="auto"/>
              <w:rPr>
                <w:rFonts w:ascii="Arial"/>
                <w:sz w:val="24"/>
                <w:szCs w:val="24"/>
              </w:rPr>
            </w:pPr>
          </w:p>
          <w:p w14:paraId="75DA7B8D">
            <w:pPr>
              <w:spacing w:line="240" w:lineRule="auto"/>
              <w:rPr>
                <w:rFonts w:ascii="Arial"/>
                <w:sz w:val="24"/>
                <w:szCs w:val="24"/>
              </w:rPr>
            </w:pPr>
          </w:p>
          <w:p w14:paraId="3C5388C4">
            <w:pPr>
              <w:pStyle w:val="437"/>
              <w:spacing w:before="78" w:line="240" w:lineRule="auto"/>
              <w:ind w:left="130"/>
              <w:rPr>
                <w:sz w:val="24"/>
                <w:szCs w:val="24"/>
              </w:rPr>
            </w:pPr>
            <w:r>
              <w:rPr>
                <w:b/>
                <w:bCs/>
                <w:spacing w:val="-15"/>
                <w:sz w:val="24"/>
                <w:szCs w:val="24"/>
              </w:rPr>
              <w:t>15</w:t>
            </w:r>
          </w:p>
        </w:tc>
        <w:tc>
          <w:tcPr>
            <w:tcW w:w="3348" w:type="dxa"/>
            <w:vAlign w:val="top"/>
          </w:tcPr>
          <w:p w14:paraId="2E05B9FD">
            <w:pPr>
              <w:pStyle w:val="437"/>
              <w:spacing w:before="39" w:line="240" w:lineRule="auto"/>
              <w:ind w:left="111" w:right="105" w:firstLine="18"/>
              <w:jc w:val="both"/>
              <w:rPr>
                <w:sz w:val="24"/>
                <w:szCs w:val="24"/>
              </w:rPr>
            </w:pPr>
            <w:r>
              <w:rPr>
                <w:spacing w:val="-10"/>
                <w:sz w:val="24"/>
                <w:szCs w:val="24"/>
              </w:rPr>
              <w:t>1、建筑小品、辅助设施和标志</w:t>
            </w:r>
            <w:r>
              <w:rPr>
                <w:spacing w:val="-1"/>
                <w:sz w:val="24"/>
                <w:szCs w:val="24"/>
              </w:rPr>
              <w:t>标牌等完好，无人为损坏或遗失，如有缺损及时上报并按原</w:t>
            </w:r>
            <w:r>
              <w:rPr>
                <w:spacing w:val="-3"/>
                <w:sz w:val="24"/>
                <w:szCs w:val="24"/>
              </w:rPr>
              <w:t>貌修复。</w:t>
            </w:r>
          </w:p>
        </w:tc>
        <w:tc>
          <w:tcPr>
            <w:tcW w:w="3947" w:type="dxa"/>
            <w:gridSpan w:val="2"/>
            <w:vMerge w:val="restart"/>
            <w:vAlign w:val="center"/>
          </w:tcPr>
          <w:p w14:paraId="61768D97">
            <w:pPr>
              <w:pStyle w:val="437"/>
              <w:spacing w:before="39" w:line="240" w:lineRule="auto"/>
              <w:ind w:left="117" w:right="153" w:firstLine="1"/>
              <w:jc w:val="both"/>
              <w:rPr>
                <w:sz w:val="24"/>
                <w:szCs w:val="24"/>
              </w:rPr>
            </w:pPr>
            <w:r>
              <w:rPr>
                <w:spacing w:val="-1"/>
                <w:sz w:val="24"/>
                <w:szCs w:val="24"/>
              </w:rPr>
              <w:t>设施破损未能及时上报或未按要</w:t>
            </w:r>
            <w:r>
              <w:rPr>
                <w:spacing w:val="-5"/>
                <w:sz w:val="24"/>
                <w:szCs w:val="24"/>
              </w:rPr>
              <w:t>求恢复的扣</w:t>
            </w:r>
            <w:r>
              <w:rPr>
                <w:spacing w:val="-37"/>
                <w:sz w:val="24"/>
                <w:szCs w:val="24"/>
              </w:rPr>
              <w:t xml:space="preserve"> </w:t>
            </w:r>
            <w:r>
              <w:rPr>
                <w:spacing w:val="-5"/>
                <w:sz w:val="24"/>
                <w:szCs w:val="24"/>
              </w:rPr>
              <w:t>2</w:t>
            </w:r>
            <w:r>
              <w:rPr>
                <w:spacing w:val="-48"/>
                <w:sz w:val="24"/>
                <w:szCs w:val="24"/>
              </w:rPr>
              <w:t xml:space="preserve"> </w:t>
            </w:r>
            <w:r>
              <w:rPr>
                <w:spacing w:val="-5"/>
                <w:sz w:val="24"/>
                <w:szCs w:val="24"/>
              </w:rPr>
              <w:t>分/件次，每拖垃</w:t>
            </w:r>
            <w:r>
              <w:rPr>
                <w:spacing w:val="-33"/>
                <w:sz w:val="24"/>
                <w:szCs w:val="24"/>
              </w:rPr>
              <w:t xml:space="preserve"> </w:t>
            </w:r>
            <w:r>
              <w:rPr>
                <w:spacing w:val="-5"/>
                <w:sz w:val="24"/>
                <w:szCs w:val="24"/>
              </w:rPr>
              <w:t>1</w:t>
            </w:r>
            <w:r>
              <w:rPr>
                <w:spacing w:val="-4"/>
                <w:sz w:val="24"/>
                <w:szCs w:val="24"/>
              </w:rPr>
              <w:t>天扣</w:t>
            </w:r>
            <w:r>
              <w:rPr>
                <w:spacing w:val="-29"/>
                <w:sz w:val="24"/>
                <w:szCs w:val="24"/>
              </w:rPr>
              <w:t xml:space="preserve"> </w:t>
            </w:r>
            <w:r>
              <w:rPr>
                <w:spacing w:val="-4"/>
                <w:sz w:val="24"/>
                <w:szCs w:val="24"/>
              </w:rPr>
              <w:t>1</w:t>
            </w:r>
            <w:r>
              <w:rPr>
                <w:spacing w:val="-48"/>
                <w:sz w:val="24"/>
                <w:szCs w:val="24"/>
              </w:rPr>
              <w:t xml:space="preserve"> </w:t>
            </w:r>
            <w:r>
              <w:rPr>
                <w:spacing w:val="-4"/>
                <w:sz w:val="24"/>
                <w:szCs w:val="24"/>
              </w:rPr>
              <w:t>分；乱张贴、乱涂写每发</w:t>
            </w:r>
            <w:r>
              <w:rPr>
                <w:spacing w:val="-14"/>
                <w:sz w:val="24"/>
                <w:szCs w:val="24"/>
              </w:rPr>
              <w:t>现</w:t>
            </w:r>
            <w:r>
              <w:rPr>
                <w:spacing w:val="-28"/>
                <w:sz w:val="24"/>
                <w:szCs w:val="24"/>
              </w:rPr>
              <w:t xml:space="preserve"> </w:t>
            </w:r>
            <w:r>
              <w:rPr>
                <w:spacing w:val="-14"/>
                <w:sz w:val="24"/>
                <w:szCs w:val="24"/>
              </w:rPr>
              <w:t>1</w:t>
            </w:r>
            <w:r>
              <w:rPr>
                <w:spacing w:val="-46"/>
                <w:sz w:val="24"/>
                <w:szCs w:val="24"/>
              </w:rPr>
              <w:t xml:space="preserve"> </w:t>
            </w:r>
            <w:r>
              <w:rPr>
                <w:spacing w:val="-14"/>
                <w:sz w:val="24"/>
                <w:szCs w:val="24"/>
              </w:rPr>
              <w:t>处扣</w:t>
            </w:r>
            <w:r>
              <w:rPr>
                <w:spacing w:val="-33"/>
                <w:sz w:val="24"/>
                <w:szCs w:val="24"/>
              </w:rPr>
              <w:t xml:space="preserve"> </w:t>
            </w:r>
            <w:r>
              <w:rPr>
                <w:spacing w:val="-14"/>
                <w:sz w:val="24"/>
                <w:szCs w:val="24"/>
              </w:rPr>
              <w:t>1</w:t>
            </w:r>
            <w:r>
              <w:rPr>
                <w:spacing w:val="-48"/>
                <w:sz w:val="24"/>
                <w:szCs w:val="24"/>
              </w:rPr>
              <w:t xml:space="preserve"> </w:t>
            </w:r>
            <w:r>
              <w:rPr>
                <w:spacing w:val="-14"/>
                <w:sz w:val="24"/>
                <w:szCs w:val="24"/>
              </w:rPr>
              <w:t>分。</w:t>
            </w:r>
          </w:p>
        </w:tc>
        <w:tc>
          <w:tcPr>
            <w:tcW w:w="1135" w:type="dxa"/>
            <w:vMerge w:val="restart"/>
            <w:vAlign w:val="top"/>
          </w:tcPr>
          <w:p w14:paraId="7B83B02B">
            <w:pPr>
              <w:spacing w:line="240" w:lineRule="auto"/>
              <w:rPr>
                <w:rFonts w:ascii="Arial"/>
                <w:sz w:val="24"/>
                <w:szCs w:val="24"/>
              </w:rPr>
            </w:pPr>
          </w:p>
        </w:tc>
      </w:tr>
      <w:tr w14:paraId="671390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205BAC51">
            <w:pPr>
              <w:pStyle w:val="437"/>
              <w:spacing w:before="78" w:line="240" w:lineRule="auto"/>
              <w:ind w:left="120" w:right="247"/>
              <w:rPr>
                <w:b/>
                <w:bCs/>
                <w:spacing w:val="-10"/>
                <w:sz w:val="24"/>
                <w:szCs w:val="24"/>
              </w:rPr>
            </w:pPr>
          </w:p>
        </w:tc>
        <w:tc>
          <w:tcPr>
            <w:tcW w:w="777" w:type="dxa"/>
            <w:vMerge w:val="continue"/>
            <w:vAlign w:val="top"/>
          </w:tcPr>
          <w:p w14:paraId="5B7E09CB">
            <w:pPr>
              <w:pStyle w:val="437"/>
              <w:spacing w:before="78" w:line="240" w:lineRule="auto"/>
              <w:ind w:left="130"/>
              <w:rPr>
                <w:b/>
                <w:bCs/>
                <w:spacing w:val="-15"/>
                <w:sz w:val="24"/>
                <w:szCs w:val="24"/>
              </w:rPr>
            </w:pPr>
          </w:p>
        </w:tc>
        <w:tc>
          <w:tcPr>
            <w:tcW w:w="3348" w:type="dxa"/>
            <w:vAlign w:val="top"/>
          </w:tcPr>
          <w:p w14:paraId="0C216CFD">
            <w:pPr>
              <w:pStyle w:val="437"/>
              <w:spacing w:before="39" w:line="240" w:lineRule="auto"/>
              <w:ind w:left="111" w:right="105" w:firstLine="18"/>
              <w:jc w:val="both"/>
              <w:rPr>
                <w:spacing w:val="-10"/>
                <w:sz w:val="24"/>
                <w:szCs w:val="24"/>
              </w:rPr>
            </w:pPr>
            <w:r>
              <w:rPr>
                <w:rFonts w:hint="eastAsia" w:ascii="宋体" w:hAnsi="宋体" w:eastAsia="宋体" w:cs="宋体"/>
                <w:spacing w:val="-9"/>
                <w:sz w:val="24"/>
                <w:szCs w:val="24"/>
              </w:rPr>
              <w:t>2、定期清洗，无灰尘污渍，无</w:t>
            </w:r>
            <w:r>
              <w:rPr>
                <w:rFonts w:hint="eastAsia" w:ascii="宋体" w:hAnsi="宋体" w:eastAsia="宋体" w:cs="宋体"/>
                <w:spacing w:val="-2"/>
                <w:sz w:val="24"/>
                <w:szCs w:val="24"/>
              </w:rPr>
              <w:t>乱张贴、乱涂写现象。</w:t>
            </w:r>
          </w:p>
        </w:tc>
        <w:tc>
          <w:tcPr>
            <w:tcW w:w="3947" w:type="dxa"/>
            <w:gridSpan w:val="2"/>
            <w:vMerge w:val="continue"/>
            <w:vAlign w:val="top"/>
          </w:tcPr>
          <w:p w14:paraId="32D2D376">
            <w:pPr>
              <w:pStyle w:val="437"/>
              <w:spacing w:before="39" w:line="240" w:lineRule="auto"/>
              <w:ind w:left="117" w:right="153" w:firstLine="1"/>
              <w:jc w:val="both"/>
              <w:rPr>
                <w:spacing w:val="-1"/>
                <w:sz w:val="24"/>
                <w:szCs w:val="24"/>
              </w:rPr>
            </w:pPr>
          </w:p>
        </w:tc>
        <w:tc>
          <w:tcPr>
            <w:tcW w:w="1135" w:type="dxa"/>
            <w:vMerge w:val="continue"/>
            <w:vAlign w:val="top"/>
          </w:tcPr>
          <w:p w14:paraId="4B552346">
            <w:pPr>
              <w:spacing w:line="240" w:lineRule="auto"/>
              <w:rPr>
                <w:rFonts w:ascii="Arial"/>
                <w:sz w:val="24"/>
                <w:szCs w:val="24"/>
              </w:rPr>
            </w:pPr>
          </w:p>
        </w:tc>
      </w:tr>
      <w:tr w14:paraId="48161D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restart"/>
            <w:shd w:val="clear" w:color="auto" w:fill="auto"/>
            <w:vAlign w:val="top"/>
          </w:tcPr>
          <w:p w14:paraId="7F1E4A5A">
            <w:pPr>
              <w:spacing w:line="240" w:lineRule="auto"/>
              <w:rPr>
                <w:rFonts w:hint="eastAsia" w:ascii="宋体" w:hAnsi="宋体" w:eastAsia="宋体" w:cs="宋体"/>
                <w:sz w:val="24"/>
                <w:szCs w:val="24"/>
              </w:rPr>
            </w:pPr>
          </w:p>
          <w:p w14:paraId="6975512A">
            <w:pPr>
              <w:spacing w:line="240" w:lineRule="auto"/>
              <w:rPr>
                <w:rFonts w:hint="eastAsia" w:ascii="宋体" w:hAnsi="宋体" w:eastAsia="宋体" w:cs="宋体"/>
                <w:sz w:val="24"/>
                <w:szCs w:val="24"/>
              </w:rPr>
            </w:pPr>
          </w:p>
          <w:p w14:paraId="12EAC80B">
            <w:pPr>
              <w:spacing w:line="240" w:lineRule="auto"/>
              <w:rPr>
                <w:rFonts w:hint="eastAsia" w:ascii="宋体" w:hAnsi="宋体" w:eastAsia="宋体" w:cs="宋体"/>
                <w:sz w:val="24"/>
                <w:szCs w:val="24"/>
              </w:rPr>
            </w:pPr>
          </w:p>
          <w:p w14:paraId="454583A7">
            <w:pPr>
              <w:spacing w:line="240" w:lineRule="auto"/>
              <w:rPr>
                <w:rFonts w:hint="eastAsia" w:ascii="宋体" w:hAnsi="宋体" w:eastAsia="宋体" w:cs="宋体"/>
                <w:sz w:val="24"/>
                <w:szCs w:val="24"/>
              </w:rPr>
            </w:pPr>
          </w:p>
          <w:p w14:paraId="20CC6CCC">
            <w:pPr>
              <w:pStyle w:val="437"/>
              <w:spacing w:before="78" w:line="240" w:lineRule="auto"/>
              <w:ind w:left="116" w:leftChars="0" w:right="247" w:rightChars="0" w:firstLine="1" w:firstLineChars="0"/>
              <w:rPr>
                <w:rFonts w:hint="eastAsia" w:ascii="宋体" w:hAnsi="宋体" w:eastAsia="宋体" w:cs="宋体"/>
                <w:sz w:val="24"/>
                <w:szCs w:val="24"/>
                <w:lang w:val="en-US" w:eastAsia="en-US" w:bidi="ar-SA"/>
              </w:rPr>
            </w:pPr>
            <w:r>
              <w:rPr>
                <w:rFonts w:hint="eastAsia" w:ascii="宋体" w:hAnsi="宋体" w:eastAsia="宋体" w:cs="宋体"/>
                <w:b/>
                <w:bCs/>
                <w:spacing w:val="-9"/>
                <w:sz w:val="24"/>
                <w:szCs w:val="24"/>
              </w:rPr>
              <w:t>绿地</w:t>
            </w:r>
            <w:r>
              <w:rPr>
                <w:rFonts w:hint="eastAsia" w:ascii="宋体" w:hAnsi="宋体" w:eastAsia="宋体" w:cs="宋体"/>
                <w:sz w:val="24"/>
                <w:szCs w:val="24"/>
              </w:rPr>
              <w:t xml:space="preserve"> </w:t>
            </w:r>
            <w:r>
              <w:rPr>
                <w:rFonts w:hint="eastAsia" w:ascii="宋体" w:hAnsi="宋体" w:eastAsia="宋体" w:cs="宋体"/>
                <w:b/>
                <w:bCs/>
                <w:spacing w:val="-8"/>
                <w:sz w:val="24"/>
                <w:szCs w:val="24"/>
              </w:rPr>
              <w:t>秩序</w:t>
            </w:r>
          </w:p>
          <w:p w14:paraId="74CB22E4">
            <w:pPr>
              <w:pStyle w:val="437"/>
              <w:spacing w:before="78" w:line="240" w:lineRule="auto"/>
              <w:ind w:left="120" w:right="247"/>
              <w:rPr>
                <w:b/>
                <w:bCs/>
                <w:spacing w:val="-10"/>
                <w:sz w:val="24"/>
                <w:szCs w:val="24"/>
              </w:rPr>
            </w:pPr>
          </w:p>
        </w:tc>
        <w:tc>
          <w:tcPr>
            <w:tcW w:w="777" w:type="dxa"/>
            <w:vMerge w:val="restart"/>
            <w:shd w:val="clear" w:color="auto" w:fill="auto"/>
            <w:vAlign w:val="top"/>
          </w:tcPr>
          <w:p w14:paraId="5CD35224">
            <w:pPr>
              <w:spacing w:line="240" w:lineRule="auto"/>
              <w:rPr>
                <w:rFonts w:hint="eastAsia" w:ascii="宋体" w:hAnsi="宋体" w:eastAsia="宋体" w:cs="宋体"/>
                <w:sz w:val="24"/>
                <w:szCs w:val="24"/>
              </w:rPr>
            </w:pPr>
          </w:p>
          <w:p w14:paraId="09D6569C">
            <w:pPr>
              <w:spacing w:line="240" w:lineRule="auto"/>
              <w:rPr>
                <w:rFonts w:hint="eastAsia" w:ascii="宋体" w:hAnsi="宋体" w:eastAsia="宋体" w:cs="宋体"/>
                <w:sz w:val="24"/>
                <w:szCs w:val="24"/>
              </w:rPr>
            </w:pPr>
          </w:p>
          <w:p w14:paraId="398A8F5D">
            <w:pPr>
              <w:spacing w:line="240" w:lineRule="auto"/>
              <w:rPr>
                <w:rFonts w:hint="eastAsia" w:ascii="宋体" w:hAnsi="宋体" w:eastAsia="宋体" w:cs="宋体"/>
                <w:sz w:val="24"/>
                <w:szCs w:val="24"/>
              </w:rPr>
            </w:pPr>
          </w:p>
          <w:p w14:paraId="589F5C50">
            <w:pPr>
              <w:spacing w:line="240" w:lineRule="auto"/>
              <w:rPr>
                <w:rFonts w:hint="eastAsia" w:ascii="宋体" w:hAnsi="宋体" w:eastAsia="宋体" w:cs="宋体"/>
                <w:sz w:val="24"/>
                <w:szCs w:val="24"/>
              </w:rPr>
            </w:pPr>
          </w:p>
          <w:p w14:paraId="4F61AF0C">
            <w:pPr>
              <w:spacing w:line="240" w:lineRule="auto"/>
              <w:rPr>
                <w:rFonts w:hint="eastAsia" w:ascii="宋体" w:hAnsi="宋体" w:eastAsia="宋体" w:cs="宋体"/>
                <w:sz w:val="24"/>
                <w:szCs w:val="24"/>
              </w:rPr>
            </w:pPr>
          </w:p>
          <w:p w14:paraId="2A103056">
            <w:pPr>
              <w:pStyle w:val="437"/>
              <w:spacing w:before="78" w:line="240" w:lineRule="auto"/>
              <w:ind w:left="130" w:leftChars="0"/>
              <w:rPr>
                <w:rFonts w:hint="eastAsia" w:ascii="宋体" w:hAnsi="宋体" w:eastAsia="宋体" w:cs="宋体"/>
                <w:sz w:val="24"/>
                <w:szCs w:val="24"/>
                <w:lang w:val="en-US" w:eastAsia="en-US" w:bidi="ar-SA"/>
              </w:rPr>
            </w:pPr>
            <w:r>
              <w:rPr>
                <w:rFonts w:hint="eastAsia" w:ascii="宋体" w:hAnsi="宋体" w:eastAsia="宋体" w:cs="宋体"/>
                <w:b/>
                <w:bCs/>
                <w:spacing w:val="-15"/>
                <w:sz w:val="24"/>
                <w:szCs w:val="24"/>
              </w:rPr>
              <w:t>10</w:t>
            </w:r>
          </w:p>
          <w:p w14:paraId="17DB21BA">
            <w:pPr>
              <w:pStyle w:val="437"/>
              <w:spacing w:before="78" w:line="240" w:lineRule="auto"/>
              <w:ind w:left="130"/>
              <w:rPr>
                <w:b/>
                <w:bCs/>
                <w:spacing w:val="-15"/>
                <w:sz w:val="24"/>
                <w:szCs w:val="24"/>
              </w:rPr>
            </w:pPr>
          </w:p>
        </w:tc>
        <w:tc>
          <w:tcPr>
            <w:tcW w:w="3348" w:type="dxa"/>
            <w:shd w:val="clear" w:color="auto" w:fill="auto"/>
            <w:vAlign w:val="top"/>
          </w:tcPr>
          <w:p w14:paraId="36CE122D">
            <w:pPr>
              <w:pStyle w:val="437"/>
              <w:spacing w:before="36" w:line="240" w:lineRule="auto"/>
              <w:ind w:left="113" w:leftChars="0" w:right="24" w:rightChars="0" w:firstLine="16" w:firstLineChars="0"/>
              <w:jc w:val="both"/>
              <w:rPr>
                <w:rFonts w:hint="eastAsia" w:ascii="宋体" w:hAnsi="宋体" w:eastAsia="宋体" w:cs="宋体"/>
                <w:sz w:val="24"/>
                <w:szCs w:val="24"/>
                <w:lang w:val="en-US" w:eastAsia="en-US" w:bidi="ar-SA"/>
              </w:rPr>
            </w:pPr>
            <w:r>
              <w:rPr>
                <w:rFonts w:hint="eastAsia" w:ascii="宋体" w:hAnsi="宋体" w:eastAsia="宋体" w:cs="宋体"/>
                <w:spacing w:val="-20"/>
                <w:sz w:val="24"/>
                <w:szCs w:val="24"/>
              </w:rPr>
              <w:t>1、绿地上有杂物堆放、乱停车、</w:t>
            </w:r>
            <w:r>
              <w:rPr>
                <w:rFonts w:hint="eastAsia" w:ascii="宋体" w:hAnsi="宋体" w:eastAsia="宋体" w:cs="宋体"/>
                <w:spacing w:val="6"/>
                <w:sz w:val="24"/>
                <w:szCs w:val="24"/>
              </w:rPr>
              <w:t xml:space="preserve"> </w:t>
            </w:r>
            <w:r>
              <w:rPr>
                <w:rFonts w:hint="eastAsia" w:ascii="宋体" w:hAnsi="宋体" w:eastAsia="宋体" w:cs="宋体"/>
                <w:spacing w:val="-1"/>
                <w:sz w:val="24"/>
                <w:szCs w:val="24"/>
              </w:rPr>
              <w:t>乱披挂、乱设摊、乱晾晒、乱</w:t>
            </w:r>
            <w:r>
              <w:rPr>
                <w:rFonts w:hint="eastAsia" w:ascii="宋体" w:hAnsi="宋体" w:eastAsia="宋体" w:cs="宋体"/>
                <w:spacing w:val="1"/>
                <w:sz w:val="24"/>
                <w:szCs w:val="24"/>
              </w:rPr>
              <w:t xml:space="preserve"> </w:t>
            </w:r>
            <w:r>
              <w:rPr>
                <w:rFonts w:hint="eastAsia" w:ascii="宋体" w:hAnsi="宋体" w:eastAsia="宋体" w:cs="宋体"/>
                <w:spacing w:val="-2"/>
                <w:sz w:val="24"/>
                <w:szCs w:val="24"/>
              </w:rPr>
              <w:t>焚烧生产垃圾的现象。</w:t>
            </w:r>
          </w:p>
        </w:tc>
        <w:tc>
          <w:tcPr>
            <w:tcW w:w="3947" w:type="dxa"/>
            <w:gridSpan w:val="2"/>
            <w:vMerge w:val="restart"/>
            <w:vAlign w:val="top"/>
          </w:tcPr>
          <w:p w14:paraId="36C397F8">
            <w:pPr>
              <w:pStyle w:val="437"/>
              <w:spacing w:before="39" w:line="240" w:lineRule="auto"/>
              <w:ind w:left="117" w:right="153" w:firstLine="1"/>
              <w:jc w:val="both"/>
              <w:rPr>
                <w:spacing w:val="-1"/>
                <w:sz w:val="24"/>
                <w:szCs w:val="24"/>
              </w:rPr>
            </w:pPr>
            <w:r>
              <w:rPr>
                <w:rFonts w:hint="eastAsia" w:ascii="宋体" w:hAnsi="宋体" w:eastAsia="宋体" w:cs="宋体"/>
                <w:spacing w:val="-4"/>
                <w:sz w:val="24"/>
                <w:szCs w:val="24"/>
              </w:rPr>
              <w:t>发现一辆扣</w:t>
            </w:r>
            <w:r>
              <w:rPr>
                <w:rFonts w:hint="eastAsia" w:ascii="宋体" w:hAnsi="宋体" w:eastAsia="宋体" w:cs="宋体"/>
                <w:spacing w:val="-31"/>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分，管养人员自己</w:t>
            </w:r>
            <w:r>
              <w:rPr>
                <w:rFonts w:hint="eastAsia" w:ascii="宋体" w:hAnsi="宋体" w:eastAsia="宋体" w:cs="宋体"/>
                <w:sz w:val="24"/>
                <w:szCs w:val="24"/>
              </w:rPr>
              <w:t xml:space="preserve">  </w:t>
            </w:r>
            <w:r>
              <w:rPr>
                <w:rFonts w:hint="eastAsia" w:ascii="宋体" w:hAnsi="宋体" w:eastAsia="宋体" w:cs="宋体"/>
                <w:spacing w:val="-3"/>
                <w:sz w:val="24"/>
                <w:szCs w:val="24"/>
              </w:rPr>
              <w:t>的车辆扣</w:t>
            </w:r>
            <w:r>
              <w:rPr>
                <w:rFonts w:hint="eastAsia" w:ascii="宋体" w:hAnsi="宋体" w:eastAsia="宋体" w:cs="宋体"/>
                <w:spacing w:val="-36"/>
                <w:sz w:val="24"/>
                <w:szCs w:val="24"/>
              </w:rPr>
              <w:t xml:space="preserve"> </w:t>
            </w:r>
            <w:r>
              <w:rPr>
                <w:rFonts w:hint="eastAsia" w:ascii="宋体" w:hAnsi="宋体" w:eastAsia="宋体" w:cs="宋体"/>
                <w:spacing w:val="-3"/>
                <w:sz w:val="24"/>
                <w:szCs w:val="24"/>
              </w:rPr>
              <w:t>2</w:t>
            </w:r>
            <w:r>
              <w:rPr>
                <w:rFonts w:hint="eastAsia" w:ascii="宋体" w:hAnsi="宋体" w:eastAsia="宋体" w:cs="宋体"/>
                <w:spacing w:val="-48"/>
                <w:sz w:val="24"/>
                <w:szCs w:val="24"/>
              </w:rPr>
              <w:t xml:space="preserve"> </w:t>
            </w:r>
            <w:r>
              <w:rPr>
                <w:rFonts w:hint="eastAsia" w:ascii="宋体" w:hAnsi="宋体" w:eastAsia="宋体" w:cs="宋体"/>
                <w:spacing w:val="-3"/>
                <w:sz w:val="24"/>
                <w:szCs w:val="24"/>
              </w:rPr>
              <w:t>分/辆,杂物堆放、乱</w:t>
            </w:r>
            <w:r>
              <w:rPr>
                <w:rFonts w:hint="eastAsia" w:ascii="宋体" w:hAnsi="宋体" w:eastAsia="宋体" w:cs="宋体"/>
                <w:sz w:val="24"/>
                <w:szCs w:val="24"/>
              </w:rPr>
              <w:t xml:space="preserve">  </w:t>
            </w:r>
            <w:r>
              <w:rPr>
                <w:rFonts w:hint="eastAsia" w:ascii="宋体" w:hAnsi="宋体" w:eastAsia="宋体" w:cs="宋体"/>
                <w:spacing w:val="-4"/>
                <w:sz w:val="24"/>
                <w:szCs w:val="24"/>
              </w:rPr>
              <w:t>披披挂、乱晾晒扣</w:t>
            </w:r>
            <w:r>
              <w:rPr>
                <w:rFonts w:hint="eastAsia" w:ascii="宋体" w:hAnsi="宋体" w:eastAsia="宋体" w:cs="宋体"/>
                <w:spacing w:val="-31"/>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分/处，乱设</w:t>
            </w:r>
            <w:r>
              <w:rPr>
                <w:rFonts w:hint="eastAsia" w:ascii="宋体" w:hAnsi="宋体" w:eastAsia="宋体" w:cs="宋体"/>
                <w:sz w:val="24"/>
                <w:szCs w:val="24"/>
              </w:rPr>
              <w:t xml:space="preserve"> </w:t>
            </w:r>
            <w:r>
              <w:rPr>
                <w:rFonts w:hint="eastAsia" w:ascii="宋体" w:hAnsi="宋体" w:eastAsia="宋体" w:cs="宋体"/>
                <w:spacing w:val="-3"/>
                <w:sz w:val="24"/>
                <w:szCs w:val="24"/>
              </w:rPr>
              <w:t>置扣</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2</w:t>
            </w:r>
            <w:r>
              <w:rPr>
                <w:rFonts w:hint="eastAsia" w:ascii="宋体" w:hAnsi="宋体" w:eastAsia="宋体" w:cs="宋体"/>
                <w:spacing w:val="-48"/>
                <w:sz w:val="24"/>
                <w:szCs w:val="24"/>
              </w:rPr>
              <w:t xml:space="preserve"> </w:t>
            </w:r>
            <w:r>
              <w:rPr>
                <w:rFonts w:hint="eastAsia" w:ascii="宋体" w:hAnsi="宋体" w:eastAsia="宋体" w:cs="宋体"/>
                <w:spacing w:val="-3"/>
                <w:sz w:val="24"/>
                <w:szCs w:val="24"/>
              </w:rPr>
              <w:t>分/处，乱焚烧生产垃圾扣</w:t>
            </w:r>
            <w:r>
              <w:rPr>
                <w:rFonts w:hint="eastAsia" w:ascii="宋体" w:hAnsi="宋体" w:eastAsia="宋体" w:cs="宋体"/>
                <w:sz w:val="24"/>
                <w:szCs w:val="24"/>
              </w:rPr>
              <w:t>3</w:t>
            </w:r>
            <w:r>
              <w:rPr>
                <w:rFonts w:hint="eastAsia" w:ascii="宋体" w:hAnsi="宋体" w:eastAsia="宋体" w:cs="宋体"/>
                <w:spacing w:val="-43"/>
                <w:sz w:val="24"/>
                <w:szCs w:val="24"/>
              </w:rPr>
              <w:t xml:space="preserve"> </w:t>
            </w:r>
            <w:r>
              <w:rPr>
                <w:rFonts w:hint="eastAsia" w:ascii="宋体" w:hAnsi="宋体" w:eastAsia="宋体" w:cs="宋体"/>
                <w:sz w:val="24"/>
                <w:szCs w:val="24"/>
              </w:rPr>
              <w:t>分/处，扣完为止。绿地侵占、</w:t>
            </w:r>
            <w:r>
              <w:rPr>
                <w:rFonts w:hint="eastAsia" w:ascii="宋体" w:hAnsi="宋体" w:eastAsia="宋体" w:cs="宋体"/>
                <w:spacing w:val="-1"/>
                <w:sz w:val="24"/>
                <w:szCs w:val="24"/>
              </w:rPr>
              <w:t>破坏设施未发现制止或发现未汇</w:t>
            </w:r>
            <w:r>
              <w:rPr>
                <w:rFonts w:hint="eastAsia" w:ascii="宋体" w:hAnsi="宋体" w:eastAsia="宋体" w:cs="宋体"/>
                <w:spacing w:val="-4"/>
                <w:sz w:val="24"/>
                <w:szCs w:val="24"/>
              </w:rPr>
              <w:t>报的扣</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2</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分/次。</w:t>
            </w:r>
          </w:p>
        </w:tc>
        <w:tc>
          <w:tcPr>
            <w:tcW w:w="1135" w:type="dxa"/>
            <w:vMerge w:val="restart"/>
            <w:vAlign w:val="top"/>
          </w:tcPr>
          <w:p w14:paraId="00296799">
            <w:pPr>
              <w:spacing w:line="240" w:lineRule="auto"/>
              <w:rPr>
                <w:rFonts w:ascii="Arial"/>
                <w:sz w:val="24"/>
                <w:szCs w:val="24"/>
              </w:rPr>
            </w:pPr>
          </w:p>
        </w:tc>
      </w:tr>
      <w:tr w14:paraId="64DA09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3129E0B0">
            <w:pPr>
              <w:pStyle w:val="437"/>
              <w:spacing w:before="78" w:line="240" w:lineRule="auto"/>
              <w:ind w:left="120" w:right="247"/>
              <w:rPr>
                <w:b/>
                <w:bCs/>
                <w:spacing w:val="-10"/>
                <w:sz w:val="24"/>
                <w:szCs w:val="24"/>
              </w:rPr>
            </w:pPr>
          </w:p>
        </w:tc>
        <w:tc>
          <w:tcPr>
            <w:tcW w:w="777" w:type="dxa"/>
            <w:vMerge w:val="continue"/>
            <w:vAlign w:val="top"/>
          </w:tcPr>
          <w:p w14:paraId="0CFA1077">
            <w:pPr>
              <w:pStyle w:val="437"/>
              <w:spacing w:before="78" w:line="240" w:lineRule="auto"/>
              <w:ind w:left="130"/>
              <w:rPr>
                <w:b/>
                <w:bCs/>
                <w:spacing w:val="-15"/>
                <w:sz w:val="24"/>
                <w:szCs w:val="24"/>
              </w:rPr>
            </w:pPr>
          </w:p>
        </w:tc>
        <w:tc>
          <w:tcPr>
            <w:tcW w:w="3348" w:type="dxa"/>
            <w:shd w:val="clear" w:color="auto" w:fill="auto"/>
            <w:vAlign w:val="top"/>
          </w:tcPr>
          <w:p w14:paraId="481120A6">
            <w:pPr>
              <w:pStyle w:val="437"/>
              <w:spacing w:before="36" w:line="240" w:lineRule="auto"/>
              <w:ind w:left="111" w:leftChars="0" w:right="39" w:rightChars="0" w:firstLine="4" w:firstLineChars="0"/>
              <w:jc w:val="both"/>
              <w:rPr>
                <w:rFonts w:hint="eastAsia" w:ascii="宋体" w:hAnsi="宋体" w:eastAsia="宋体" w:cs="宋体"/>
                <w:sz w:val="24"/>
                <w:szCs w:val="24"/>
                <w:lang w:val="en-US" w:eastAsia="en-US" w:bidi="ar-SA"/>
              </w:rPr>
            </w:pPr>
            <w:r>
              <w:rPr>
                <w:rFonts w:hint="eastAsia" w:ascii="宋体" w:hAnsi="宋体" w:eastAsia="宋体" w:cs="宋体"/>
                <w:spacing w:val="-4"/>
                <w:sz w:val="24"/>
                <w:szCs w:val="24"/>
              </w:rPr>
              <w:t>2、发现绿地侵占、偷盗苗木、</w:t>
            </w:r>
            <w:r>
              <w:rPr>
                <w:rFonts w:hint="eastAsia" w:ascii="宋体" w:hAnsi="宋体" w:eastAsia="宋体" w:cs="宋体"/>
                <w:spacing w:val="-12"/>
                <w:sz w:val="24"/>
                <w:szCs w:val="24"/>
              </w:rPr>
              <w:t>破坏设施等现象，要立即制止，</w:t>
            </w:r>
            <w:r>
              <w:rPr>
                <w:rFonts w:hint="eastAsia" w:ascii="宋体" w:hAnsi="宋体" w:eastAsia="宋体" w:cs="宋体"/>
                <w:spacing w:val="-1"/>
                <w:sz w:val="24"/>
                <w:szCs w:val="24"/>
              </w:rPr>
              <w:t>同时第一时间与甲方联系并汇</w:t>
            </w:r>
            <w:r>
              <w:rPr>
                <w:rFonts w:hint="eastAsia" w:ascii="宋体" w:hAnsi="宋体" w:eastAsia="宋体" w:cs="宋体"/>
                <w:spacing w:val="-4"/>
                <w:sz w:val="24"/>
                <w:szCs w:val="24"/>
              </w:rPr>
              <w:t>报。</w:t>
            </w:r>
          </w:p>
        </w:tc>
        <w:tc>
          <w:tcPr>
            <w:tcW w:w="3947" w:type="dxa"/>
            <w:gridSpan w:val="2"/>
            <w:vMerge w:val="continue"/>
            <w:vAlign w:val="top"/>
          </w:tcPr>
          <w:p w14:paraId="72278708">
            <w:pPr>
              <w:pStyle w:val="437"/>
              <w:spacing w:before="39" w:line="240" w:lineRule="auto"/>
              <w:ind w:left="117" w:right="153" w:firstLine="1"/>
              <w:jc w:val="both"/>
              <w:rPr>
                <w:spacing w:val="-1"/>
                <w:sz w:val="24"/>
                <w:szCs w:val="24"/>
              </w:rPr>
            </w:pPr>
          </w:p>
        </w:tc>
        <w:tc>
          <w:tcPr>
            <w:tcW w:w="1135" w:type="dxa"/>
            <w:vMerge w:val="continue"/>
            <w:vAlign w:val="top"/>
          </w:tcPr>
          <w:p w14:paraId="25C1955F">
            <w:pPr>
              <w:spacing w:line="240" w:lineRule="auto"/>
              <w:rPr>
                <w:rFonts w:ascii="Arial"/>
                <w:sz w:val="24"/>
                <w:szCs w:val="24"/>
              </w:rPr>
            </w:pPr>
          </w:p>
        </w:tc>
      </w:tr>
      <w:tr w14:paraId="3AAC2A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restart"/>
            <w:shd w:val="clear" w:color="auto" w:fill="auto"/>
            <w:vAlign w:val="top"/>
          </w:tcPr>
          <w:p w14:paraId="6FED6FFA">
            <w:pPr>
              <w:spacing w:line="240" w:lineRule="auto"/>
              <w:rPr>
                <w:rFonts w:hint="eastAsia" w:ascii="宋体" w:hAnsi="宋体" w:eastAsia="宋体" w:cs="宋体"/>
                <w:sz w:val="24"/>
                <w:szCs w:val="24"/>
              </w:rPr>
            </w:pPr>
          </w:p>
          <w:p w14:paraId="455958AC">
            <w:pPr>
              <w:spacing w:line="240" w:lineRule="auto"/>
              <w:rPr>
                <w:rFonts w:hint="eastAsia" w:ascii="宋体" w:hAnsi="宋体" w:eastAsia="宋体" w:cs="宋体"/>
                <w:sz w:val="24"/>
                <w:szCs w:val="24"/>
              </w:rPr>
            </w:pPr>
          </w:p>
          <w:p w14:paraId="2024BC42">
            <w:pPr>
              <w:spacing w:line="240" w:lineRule="auto"/>
              <w:rPr>
                <w:rFonts w:hint="eastAsia" w:ascii="宋体" w:hAnsi="宋体" w:eastAsia="宋体" w:cs="宋体"/>
                <w:sz w:val="24"/>
                <w:szCs w:val="24"/>
              </w:rPr>
            </w:pPr>
          </w:p>
          <w:p w14:paraId="0986578D">
            <w:pPr>
              <w:spacing w:line="240" w:lineRule="auto"/>
              <w:rPr>
                <w:rFonts w:hint="eastAsia" w:ascii="宋体" w:hAnsi="宋体" w:eastAsia="宋体" w:cs="宋体"/>
                <w:sz w:val="24"/>
                <w:szCs w:val="24"/>
              </w:rPr>
            </w:pPr>
          </w:p>
          <w:p w14:paraId="44F16388">
            <w:pPr>
              <w:pStyle w:val="437"/>
              <w:spacing w:before="78" w:line="240" w:lineRule="auto"/>
              <w:ind w:left="115" w:leftChars="0" w:right="247" w:rightChars="0" w:firstLine="19" w:firstLineChars="0"/>
              <w:rPr>
                <w:rFonts w:hint="eastAsia" w:ascii="宋体" w:hAnsi="宋体" w:eastAsia="宋体" w:cs="宋体"/>
                <w:sz w:val="24"/>
                <w:szCs w:val="24"/>
                <w:lang w:val="en-US" w:eastAsia="en-US" w:bidi="ar-SA"/>
              </w:rPr>
            </w:pPr>
            <w:r>
              <w:rPr>
                <w:rFonts w:hint="eastAsia" w:ascii="宋体" w:hAnsi="宋体" w:eastAsia="宋体" w:cs="宋体"/>
                <w:b/>
                <w:bCs/>
                <w:spacing w:val="-17"/>
                <w:sz w:val="24"/>
                <w:szCs w:val="24"/>
              </w:rPr>
              <w:t>台帐</w:t>
            </w:r>
            <w:r>
              <w:rPr>
                <w:rFonts w:hint="eastAsia" w:ascii="宋体" w:hAnsi="宋体" w:eastAsia="宋体" w:cs="宋体"/>
                <w:sz w:val="24"/>
                <w:szCs w:val="24"/>
              </w:rPr>
              <w:t xml:space="preserve"> </w:t>
            </w:r>
            <w:r>
              <w:rPr>
                <w:rFonts w:hint="eastAsia" w:ascii="宋体" w:hAnsi="宋体" w:eastAsia="宋体" w:cs="宋体"/>
                <w:b/>
                <w:bCs/>
                <w:spacing w:val="-7"/>
                <w:sz w:val="24"/>
                <w:szCs w:val="24"/>
              </w:rPr>
              <w:t>记录</w:t>
            </w:r>
          </w:p>
        </w:tc>
        <w:tc>
          <w:tcPr>
            <w:tcW w:w="777" w:type="dxa"/>
            <w:vMerge w:val="restart"/>
            <w:shd w:val="clear" w:color="auto" w:fill="auto"/>
            <w:vAlign w:val="top"/>
          </w:tcPr>
          <w:p w14:paraId="208BBA64">
            <w:pPr>
              <w:spacing w:line="240" w:lineRule="auto"/>
              <w:rPr>
                <w:rFonts w:hint="eastAsia" w:ascii="宋体" w:hAnsi="宋体" w:eastAsia="宋体" w:cs="宋体"/>
                <w:sz w:val="24"/>
                <w:szCs w:val="24"/>
              </w:rPr>
            </w:pPr>
          </w:p>
          <w:p w14:paraId="6977B56B">
            <w:pPr>
              <w:spacing w:line="240" w:lineRule="auto"/>
              <w:rPr>
                <w:rFonts w:hint="eastAsia" w:ascii="宋体" w:hAnsi="宋体" w:eastAsia="宋体" w:cs="宋体"/>
                <w:sz w:val="24"/>
                <w:szCs w:val="24"/>
              </w:rPr>
            </w:pPr>
          </w:p>
          <w:p w14:paraId="58338626">
            <w:pPr>
              <w:spacing w:line="240" w:lineRule="auto"/>
              <w:rPr>
                <w:rFonts w:hint="eastAsia" w:ascii="宋体" w:hAnsi="宋体" w:eastAsia="宋体" w:cs="宋体"/>
                <w:sz w:val="24"/>
                <w:szCs w:val="24"/>
              </w:rPr>
            </w:pPr>
          </w:p>
          <w:p w14:paraId="78B2C03E">
            <w:pPr>
              <w:spacing w:line="240" w:lineRule="auto"/>
              <w:rPr>
                <w:rFonts w:hint="eastAsia" w:ascii="宋体" w:hAnsi="宋体" w:eastAsia="宋体" w:cs="宋体"/>
                <w:sz w:val="24"/>
                <w:szCs w:val="24"/>
              </w:rPr>
            </w:pPr>
          </w:p>
          <w:p w14:paraId="622FE43B">
            <w:pPr>
              <w:spacing w:line="240" w:lineRule="auto"/>
              <w:rPr>
                <w:rFonts w:hint="eastAsia" w:ascii="宋体" w:hAnsi="宋体" w:eastAsia="宋体" w:cs="宋体"/>
                <w:sz w:val="24"/>
                <w:szCs w:val="24"/>
              </w:rPr>
            </w:pPr>
          </w:p>
          <w:p w14:paraId="46F4B43A">
            <w:pPr>
              <w:pStyle w:val="437"/>
              <w:spacing w:before="78" w:line="240" w:lineRule="auto"/>
              <w:ind w:left="130" w:leftChars="0"/>
              <w:rPr>
                <w:rFonts w:hint="eastAsia" w:ascii="宋体" w:hAnsi="宋体" w:eastAsia="宋体" w:cs="宋体"/>
                <w:sz w:val="24"/>
                <w:szCs w:val="24"/>
                <w:lang w:val="en-US" w:eastAsia="en-US" w:bidi="ar-SA"/>
              </w:rPr>
            </w:pPr>
            <w:r>
              <w:rPr>
                <w:rFonts w:hint="eastAsia" w:ascii="宋体" w:hAnsi="宋体" w:eastAsia="宋体" w:cs="宋体"/>
                <w:b/>
                <w:bCs/>
                <w:spacing w:val="-15"/>
                <w:sz w:val="24"/>
                <w:szCs w:val="24"/>
              </w:rPr>
              <w:t>10</w:t>
            </w:r>
          </w:p>
        </w:tc>
        <w:tc>
          <w:tcPr>
            <w:tcW w:w="3348" w:type="dxa"/>
            <w:shd w:val="clear" w:color="auto" w:fill="auto"/>
            <w:vAlign w:val="top"/>
          </w:tcPr>
          <w:p w14:paraId="44B137BB">
            <w:pPr>
              <w:pStyle w:val="437"/>
              <w:spacing w:before="36" w:line="240" w:lineRule="auto"/>
              <w:ind w:left="111" w:leftChars="0" w:right="39" w:rightChars="0" w:firstLine="4" w:firstLineChars="0"/>
              <w:jc w:val="both"/>
              <w:rPr>
                <w:rFonts w:hint="eastAsia" w:ascii="宋体" w:hAnsi="宋体" w:eastAsia="宋体" w:cs="宋体"/>
                <w:spacing w:val="-4"/>
                <w:sz w:val="24"/>
                <w:szCs w:val="24"/>
              </w:rPr>
            </w:pPr>
            <w:r>
              <w:rPr>
                <w:rFonts w:hint="eastAsia" w:ascii="宋体" w:hAnsi="宋体" w:eastAsia="宋体" w:cs="宋体"/>
                <w:spacing w:val="-5"/>
                <w:sz w:val="24"/>
                <w:szCs w:val="24"/>
              </w:rPr>
              <w:t>1、提供当月考勤情况记录表、</w:t>
            </w:r>
            <w:r>
              <w:rPr>
                <w:rFonts w:hint="eastAsia" w:ascii="宋体" w:hAnsi="宋体" w:eastAsia="宋体" w:cs="宋体"/>
                <w:spacing w:val="-2"/>
                <w:sz w:val="24"/>
                <w:szCs w:val="24"/>
              </w:rPr>
              <w:t>管理工作小结及次月工作计划</w:t>
            </w:r>
            <w:r>
              <w:rPr>
                <w:rFonts w:hint="eastAsia" w:ascii="宋体" w:hAnsi="宋体" w:eastAsia="宋体" w:cs="宋体"/>
                <w:spacing w:val="10"/>
                <w:sz w:val="24"/>
                <w:szCs w:val="24"/>
              </w:rPr>
              <w:t xml:space="preserve"> </w:t>
            </w:r>
            <w:r>
              <w:rPr>
                <w:rFonts w:hint="eastAsia" w:ascii="宋体" w:hAnsi="宋体" w:eastAsia="宋体" w:cs="宋体"/>
                <w:spacing w:val="-5"/>
                <w:sz w:val="24"/>
                <w:szCs w:val="24"/>
              </w:rPr>
              <w:t>安排。</w:t>
            </w:r>
          </w:p>
        </w:tc>
        <w:tc>
          <w:tcPr>
            <w:tcW w:w="3947" w:type="dxa"/>
            <w:gridSpan w:val="2"/>
            <w:vMerge w:val="restart"/>
            <w:vAlign w:val="center"/>
          </w:tcPr>
          <w:p w14:paraId="6B9B6E8E">
            <w:pPr>
              <w:pStyle w:val="437"/>
              <w:spacing w:before="39" w:line="240" w:lineRule="auto"/>
              <w:ind w:left="117" w:right="153" w:firstLine="1"/>
              <w:jc w:val="both"/>
              <w:rPr>
                <w:spacing w:val="-1"/>
                <w:sz w:val="24"/>
                <w:szCs w:val="24"/>
              </w:rPr>
            </w:pPr>
            <w:r>
              <w:rPr>
                <w:rFonts w:hint="eastAsia" w:ascii="宋体" w:hAnsi="宋体" w:eastAsia="宋体" w:cs="宋体"/>
                <w:spacing w:val="-1"/>
                <w:sz w:val="24"/>
                <w:szCs w:val="24"/>
              </w:rPr>
              <w:t>未按要求完成上交的，每缺一项</w:t>
            </w:r>
            <w:r>
              <w:rPr>
                <w:rFonts w:hint="eastAsia" w:ascii="宋体" w:hAnsi="宋体" w:eastAsia="宋体" w:cs="宋体"/>
                <w:spacing w:val="-9"/>
                <w:sz w:val="24"/>
                <w:szCs w:val="24"/>
              </w:rPr>
              <w:t>扣</w:t>
            </w:r>
            <w:r>
              <w:rPr>
                <w:rFonts w:hint="eastAsia" w:ascii="宋体" w:hAnsi="宋体" w:eastAsia="宋体" w:cs="宋体"/>
                <w:spacing w:val="-48"/>
                <w:sz w:val="24"/>
                <w:szCs w:val="24"/>
              </w:rPr>
              <w:t xml:space="preserve"> </w:t>
            </w:r>
            <w:r>
              <w:rPr>
                <w:rFonts w:hint="eastAsia" w:ascii="宋体" w:hAnsi="宋体" w:eastAsia="宋体" w:cs="宋体"/>
                <w:spacing w:val="-9"/>
                <w:sz w:val="24"/>
                <w:szCs w:val="24"/>
              </w:rPr>
              <w:t>2</w:t>
            </w:r>
            <w:r>
              <w:rPr>
                <w:rFonts w:hint="eastAsia" w:ascii="宋体" w:hAnsi="宋体" w:eastAsia="宋体" w:cs="宋体"/>
                <w:spacing w:val="-47"/>
                <w:sz w:val="24"/>
                <w:szCs w:val="24"/>
              </w:rPr>
              <w:t xml:space="preserve"> </w:t>
            </w:r>
            <w:r>
              <w:rPr>
                <w:rFonts w:hint="eastAsia" w:ascii="宋体" w:hAnsi="宋体" w:eastAsia="宋体" w:cs="宋体"/>
                <w:spacing w:val="-9"/>
                <w:sz w:val="24"/>
                <w:szCs w:val="24"/>
              </w:rPr>
              <w:t>分</w:t>
            </w:r>
          </w:p>
        </w:tc>
        <w:tc>
          <w:tcPr>
            <w:tcW w:w="1135" w:type="dxa"/>
            <w:vMerge w:val="restart"/>
            <w:vAlign w:val="top"/>
          </w:tcPr>
          <w:p w14:paraId="2640C229">
            <w:pPr>
              <w:spacing w:line="240" w:lineRule="auto"/>
              <w:rPr>
                <w:rFonts w:ascii="Arial"/>
                <w:sz w:val="24"/>
                <w:szCs w:val="24"/>
              </w:rPr>
            </w:pPr>
          </w:p>
        </w:tc>
      </w:tr>
      <w:tr w14:paraId="21FE1F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5AE53A49">
            <w:pPr>
              <w:pStyle w:val="437"/>
              <w:spacing w:before="78" w:line="240" w:lineRule="auto"/>
              <w:ind w:left="120" w:right="247"/>
              <w:rPr>
                <w:b/>
                <w:bCs/>
                <w:spacing w:val="-10"/>
                <w:sz w:val="24"/>
                <w:szCs w:val="24"/>
              </w:rPr>
            </w:pPr>
          </w:p>
        </w:tc>
        <w:tc>
          <w:tcPr>
            <w:tcW w:w="777" w:type="dxa"/>
            <w:vMerge w:val="continue"/>
            <w:vAlign w:val="top"/>
          </w:tcPr>
          <w:p w14:paraId="45A10FA5">
            <w:pPr>
              <w:pStyle w:val="437"/>
              <w:spacing w:before="78" w:line="240" w:lineRule="auto"/>
              <w:ind w:left="130"/>
              <w:rPr>
                <w:b/>
                <w:bCs/>
                <w:spacing w:val="-15"/>
                <w:sz w:val="24"/>
                <w:szCs w:val="24"/>
              </w:rPr>
            </w:pPr>
          </w:p>
        </w:tc>
        <w:tc>
          <w:tcPr>
            <w:tcW w:w="3348" w:type="dxa"/>
            <w:shd w:val="clear" w:color="auto" w:fill="auto"/>
            <w:vAlign w:val="top"/>
          </w:tcPr>
          <w:p w14:paraId="09AE6711">
            <w:pPr>
              <w:pStyle w:val="437"/>
              <w:spacing w:before="36" w:line="240" w:lineRule="auto"/>
              <w:ind w:left="111" w:leftChars="0" w:right="39" w:rightChars="0" w:firstLine="4" w:firstLineChars="0"/>
              <w:jc w:val="both"/>
              <w:rPr>
                <w:rFonts w:hint="eastAsia" w:ascii="宋体" w:hAnsi="宋体" w:eastAsia="宋体" w:cs="宋体"/>
                <w:spacing w:val="-4"/>
                <w:sz w:val="24"/>
                <w:szCs w:val="24"/>
              </w:rPr>
            </w:pPr>
            <w:r>
              <w:rPr>
                <w:rFonts w:hint="eastAsia" w:ascii="宋体" w:hAnsi="宋体" w:eastAsia="宋体" w:cs="宋体"/>
                <w:spacing w:val="-9"/>
                <w:sz w:val="24"/>
                <w:szCs w:val="24"/>
              </w:rPr>
              <w:t>2、及时做好各类灾害性天气的</w:t>
            </w:r>
            <w:r>
              <w:rPr>
                <w:rFonts w:hint="eastAsia" w:ascii="宋体" w:hAnsi="宋体" w:eastAsia="宋体" w:cs="宋体"/>
                <w:spacing w:val="-2"/>
                <w:sz w:val="24"/>
                <w:szCs w:val="24"/>
              </w:rPr>
              <w:t>应急预案。</w:t>
            </w:r>
          </w:p>
        </w:tc>
        <w:tc>
          <w:tcPr>
            <w:tcW w:w="3947" w:type="dxa"/>
            <w:gridSpan w:val="2"/>
            <w:vMerge w:val="continue"/>
            <w:vAlign w:val="top"/>
          </w:tcPr>
          <w:p w14:paraId="458C23CB">
            <w:pPr>
              <w:pStyle w:val="437"/>
              <w:spacing w:before="39" w:line="240" w:lineRule="auto"/>
              <w:ind w:left="117" w:right="153" w:firstLine="1"/>
              <w:jc w:val="both"/>
              <w:rPr>
                <w:spacing w:val="-1"/>
                <w:sz w:val="24"/>
                <w:szCs w:val="24"/>
              </w:rPr>
            </w:pPr>
          </w:p>
        </w:tc>
        <w:tc>
          <w:tcPr>
            <w:tcW w:w="1135" w:type="dxa"/>
            <w:vMerge w:val="continue"/>
            <w:vAlign w:val="top"/>
          </w:tcPr>
          <w:p w14:paraId="0E8FFC03">
            <w:pPr>
              <w:spacing w:line="240" w:lineRule="auto"/>
              <w:rPr>
                <w:rFonts w:ascii="Arial"/>
                <w:sz w:val="24"/>
                <w:szCs w:val="24"/>
              </w:rPr>
            </w:pPr>
          </w:p>
        </w:tc>
      </w:tr>
      <w:tr w14:paraId="11D6C6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2CA11AD8">
            <w:pPr>
              <w:pStyle w:val="437"/>
              <w:spacing w:before="78" w:line="240" w:lineRule="auto"/>
              <w:ind w:left="120" w:right="247"/>
              <w:rPr>
                <w:b/>
                <w:bCs/>
                <w:spacing w:val="-10"/>
                <w:sz w:val="24"/>
                <w:szCs w:val="24"/>
              </w:rPr>
            </w:pPr>
          </w:p>
        </w:tc>
        <w:tc>
          <w:tcPr>
            <w:tcW w:w="777" w:type="dxa"/>
            <w:vMerge w:val="continue"/>
            <w:vAlign w:val="top"/>
          </w:tcPr>
          <w:p w14:paraId="64E61575">
            <w:pPr>
              <w:pStyle w:val="437"/>
              <w:spacing w:before="78" w:line="240" w:lineRule="auto"/>
              <w:ind w:left="130"/>
              <w:rPr>
                <w:b/>
                <w:bCs/>
                <w:spacing w:val="-15"/>
                <w:sz w:val="24"/>
                <w:szCs w:val="24"/>
              </w:rPr>
            </w:pPr>
          </w:p>
        </w:tc>
        <w:tc>
          <w:tcPr>
            <w:tcW w:w="3348" w:type="dxa"/>
            <w:shd w:val="clear" w:color="auto" w:fill="auto"/>
            <w:vAlign w:val="top"/>
          </w:tcPr>
          <w:p w14:paraId="5130736A">
            <w:pPr>
              <w:pStyle w:val="437"/>
              <w:spacing w:before="182" w:line="240" w:lineRule="auto"/>
              <w:ind w:left="111" w:right="105" w:firstLine="5"/>
              <w:rPr>
                <w:rFonts w:hint="eastAsia" w:ascii="宋体" w:hAnsi="宋体" w:eastAsia="宋体" w:cs="宋体"/>
                <w:spacing w:val="-4"/>
                <w:sz w:val="24"/>
                <w:szCs w:val="24"/>
              </w:rPr>
            </w:pPr>
            <w:r>
              <w:rPr>
                <w:rFonts w:hint="eastAsia" w:ascii="宋体" w:hAnsi="宋体" w:eastAsia="宋体" w:cs="宋体"/>
                <w:spacing w:val="-9"/>
                <w:sz w:val="24"/>
                <w:szCs w:val="24"/>
              </w:rPr>
              <w:t>3、做好每月安全例会和文明作</w:t>
            </w:r>
            <w:r>
              <w:rPr>
                <w:rFonts w:hint="eastAsia" w:ascii="宋体" w:hAnsi="宋体" w:eastAsia="宋体" w:cs="宋体"/>
                <w:spacing w:val="-2"/>
                <w:sz w:val="24"/>
                <w:szCs w:val="24"/>
              </w:rPr>
              <w:t>业的台帐资料。</w:t>
            </w:r>
          </w:p>
        </w:tc>
        <w:tc>
          <w:tcPr>
            <w:tcW w:w="3947" w:type="dxa"/>
            <w:gridSpan w:val="2"/>
            <w:vMerge w:val="continue"/>
            <w:vAlign w:val="top"/>
          </w:tcPr>
          <w:p w14:paraId="741D5EF7">
            <w:pPr>
              <w:pStyle w:val="437"/>
              <w:spacing w:before="39" w:line="240" w:lineRule="auto"/>
              <w:ind w:left="117" w:right="153" w:firstLine="1"/>
              <w:jc w:val="both"/>
              <w:rPr>
                <w:spacing w:val="-1"/>
                <w:sz w:val="24"/>
                <w:szCs w:val="24"/>
              </w:rPr>
            </w:pPr>
          </w:p>
        </w:tc>
        <w:tc>
          <w:tcPr>
            <w:tcW w:w="1135" w:type="dxa"/>
            <w:vMerge w:val="continue"/>
            <w:vAlign w:val="top"/>
          </w:tcPr>
          <w:p w14:paraId="6D909DC7">
            <w:pPr>
              <w:spacing w:line="240" w:lineRule="auto"/>
              <w:rPr>
                <w:rFonts w:ascii="Arial"/>
                <w:sz w:val="24"/>
                <w:szCs w:val="24"/>
              </w:rPr>
            </w:pPr>
          </w:p>
        </w:tc>
      </w:tr>
      <w:tr w14:paraId="648A9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1E1186A0">
            <w:pPr>
              <w:pStyle w:val="437"/>
              <w:spacing w:before="78" w:line="240" w:lineRule="auto"/>
              <w:ind w:left="120" w:right="247"/>
              <w:rPr>
                <w:b/>
                <w:bCs/>
                <w:spacing w:val="-10"/>
                <w:sz w:val="24"/>
                <w:szCs w:val="24"/>
              </w:rPr>
            </w:pPr>
          </w:p>
        </w:tc>
        <w:tc>
          <w:tcPr>
            <w:tcW w:w="777" w:type="dxa"/>
            <w:vMerge w:val="continue"/>
            <w:vAlign w:val="top"/>
          </w:tcPr>
          <w:p w14:paraId="2EF82C36">
            <w:pPr>
              <w:pStyle w:val="437"/>
              <w:spacing w:before="78" w:line="240" w:lineRule="auto"/>
              <w:ind w:left="130"/>
              <w:rPr>
                <w:b/>
                <w:bCs/>
                <w:spacing w:val="-15"/>
                <w:sz w:val="24"/>
                <w:szCs w:val="24"/>
              </w:rPr>
            </w:pPr>
          </w:p>
        </w:tc>
        <w:tc>
          <w:tcPr>
            <w:tcW w:w="3348" w:type="dxa"/>
            <w:shd w:val="clear" w:color="auto" w:fill="auto"/>
            <w:vAlign w:val="top"/>
          </w:tcPr>
          <w:p w14:paraId="084FC728">
            <w:pPr>
              <w:pStyle w:val="437"/>
              <w:spacing w:before="36" w:line="240" w:lineRule="auto"/>
              <w:ind w:left="111" w:leftChars="0" w:right="39" w:rightChars="0" w:firstLine="4" w:firstLineChars="0"/>
              <w:jc w:val="both"/>
              <w:rPr>
                <w:rFonts w:hint="eastAsia" w:ascii="宋体" w:hAnsi="宋体" w:eastAsia="宋体" w:cs="宋体"/>
                <w:spacing w:val="-4"/>
                <w:sz w:val="24"/>
                <w:szCs w:val="24"/>
              </w:rPr>
            </w:pPr>
            <w:r>
              <w:rPr>
                <w:rFonts w:hint="eastAsia" w:ascii="宋体" w:hAnsi="宋体" w:eastAsia="宋体" w:cs="宋体"/>
                <w:spacing w:val="-1"/>
                <w:sz w:val="24"/>
                <w:szCs w:val="24"/>
              </w:rPr>
              <w:t>4、提供人员工资福利发放单</w:t>
            </w:r>
            <w:r>
              <w:rPr>
                <w:rFonts w:hint="eastAsia" w:ascii="宋体" w:hAnsi="宋体" w:eastAsia="宋体" w:cs="宋体"/>
                <w:spacing w:val="3"/>
                <w:sz w:val="24"/>
                <w:szCs w:val="24"/>
              </w:rPr>
              <w:t xml:space="preserve"> </w:t>
            </w:r>
            <w:r>
              <w:rPr>
                <w:rFonts w:hint="eastAsia" w:ascii="宋体" w:hAnsi="宋体" w:eastAsia="宋体" w:cs="宋体"/>
                <w:spacing w:val="-4"/>
                <w:sz w:val="24"/>
                <w:szCs w:val="24"/>
              </w:rPr>
              <w:t>（复印件）。</w:t>
            </w:r>
          </w:p>
        </w:tc>
        <w:tc>
          <w:tcPr>
            <w:tcW w:w="3947" w:type="dxa"/>
            <w:gridSpan w:val="2"/>
            <w:vMerge w:val="continue"/>
            <w:vAlign w:val="top"/>
          </w:tcPr>
          <w:p w14:paraId="46F6DBFB">
            <w:pPr>
              <w:pStyle w:val="437"/>
              <w:spacing w:before="39" w:line="240" w:lineRule="auto"/>
              <w:ind w:left="117" w:right="153" w:firstLine="1"/>
              <w:jc w:val="both"/>
              <w:rPr>
                <w:spacing w:val="-1"/>
                <w:sz w:val="24"/>
                <w:szCs w:val="24"/>
              </w:rPr>
            </w:pPr>
          </w:p>
        </w:tc>
        <w:tc>
          <w:tcPr>
            <w:tcW w:w="1135" w:type="dxa"/>
            <w:vMerge w:val="continue"/>
            <w:vAlign w:val="top"/>
          </w:tcPr>
          <w:p w14:paraId="1B877F01">
            <w:pPr>
              <w:spacing w:line="240" w:lineRule="auto"/>
              <w:rPr>
                <w:rFonts w:ascii="Arial"/>
                <w:sz w:val="24"/>
                <w:szCs w:val="24"/>
              </w:rPr>
            </w:pPr>
          </w:p>
        </w:tc>
      </w:tr>
      <w:tr w14:paraId="606D7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restart"/>
            <w:vAlign w:val="center"/>
          </w:tcPr>
          <w:p w14:paraId="54BE897D">
            <w:pPr>
              <w:pStyle w:val="437"/>
              <w:spacing w:before="78" w:line="240" w:lineRule="auto"/>
              <w:ind w:left="120" w:right="247"/>
              <w:jc w:val="center"/>
              <w:rPr>
                <w:rFonts w:hint="eastAsia" w:eastAsia="宋体"/>
                <w:b/>
                <w:bCs/>
                <w:spacing w:val="-10"/>
                <w:sz w:val="24"/>
                <w:szCs w:val="24"/>
                <w:lang w:val="en-US" w:eastAsia="zh-CN"/>
              </w:rPr>
            </w:pPr>
            <w:r>
              <w:rPr>
                <w:rFonts w:hint="eastAsia"/>
                <w:b/>
                <w:bCs/>
                <w:spacing w:val="-10"/>
                <w:sz w:val="24"/>
                <w:szCs w:val="24"/>
                <w:lang w:val="en-US" w:eastAsia="zh-CN"/>
              </w:rPr>
              <w:t>其他</w:t>
            </w:r>
          </w:p>
        </w:tc>
        <w:tc>
          <w:tcPr>
            <w:tcW w:w="777" w:type="dxa"/>
            <w:vMerge w:val="restart"/>
            <w:vAlign w:val="center"/>
          </w:tcPr>
          <w:p w14:paraId="219745BA">
            <w:pPr>
              <w:pStyle w:val="437"/>
              <w:spacing w:before="78" w:line="240" w:lineRule="auto"/>
              <w:ind w:left="130"/>
              <w:jc w:val="center"/>
              <w:rPr>
                <w:rFonts w:hint="default" w:eastAsia="宋体"/>
                <w:b/>
                <w:bCs/>
                <w:spacing w:val="-15"/>
                <w:sz w:val="24"/>
                <w:szCs w:val="24"/>
                <w:lang w:val="en-US" w:eastAsia="zh-CN"/>
              </w:rPr>
            </w:pPr>
            <w:r>
              <w:rPr>
                <w:rFonts w:hint="eastAsia"/>
                <w:b/>
                <w:bCs/>
                <w:spacing w:val="-15"/>
                <w:sz w:val="24"/>
                <w:szCs w:val="24"/>
                <w:lang w:val="en-US" w:eastAsia="zh-CN"/>
              </w:rPr>
              <w:t>15</w:t>
            </w:r>
          </w:p>
        </w:tc>
        <w:tc>
          <w:tcPr>
            <w:tcW w:w="3348" w:type="dxa"/>
            <w:shd w:val="clear" w:color="auto" w:fill="auto"/>
            <w:vAlign w:val="top"/>
          </w:tcPr>
          <w:p w14:paraId="1F4CD304">
            <w:pPr>
              <w:pStyle w:val="437"/>
              <w:spacing w:before="40" w:line="240" w:lineRule="auto"/>
              <w:ind w:left="114" w:leftChars="0" w:right="23" w:rightChars="0" w:firstLine="15" w:firstLineChars="0"/>
              <w:jc w:val="both"/>
              <w:rPr>
                <w:rFonts w:hint="eastAsia" w:ascii="宋体" w:hAnsi="宋体" w:eastAsia="宋体" w:cs="宋体"/>
                <w:sz w:val="24"/>
                <w:szCs w:val="24"/>
                <w:lang w:val="en-US" w:eastAsia="en-US" w:bidi="ar-SA"/>
              </w:rPr>
            </w:pPr>
            <w:r>
              <w:rPr>
                <w:rFonts w:hint="eastAsia" w:ascii="宋体" w:hAnsi="宋体" w:eastAsia="宋体" w:cs="宋体"/>
                <w:spacing w:val="-3"/>
                <w:sz w:val="24"/>
                <w:szCs w:val="24"/>
              </w:rPr>
              <w:t>1、上岗人员符合管养绿地要</w:t>
            </w:r>
            <w:r>
              <w:rPr>
                <w:rFonts w:hint="eastAsia" w:ascii="宋体" w:hAnsi="宋体" w:eastAsia="宋体" w:cs="宋体"/>
                <w:spacing w:val="-12"/>
                <w:sz w:val="24"/>
                <w:szCs w:val="24"/>
              </w:rPr>
              <w:t>求，人员齐全，年龄符合规定。定职定岗，按规定着标志服装。</w:t>
            </w:r>
          </w:p>
        </w:tc>
        <w:tc>
          <w:tcPr>
            <w:tcW w:w="3947" w:type="dxa"/>
            <w:gridSpan w:val="2"/>
            <w:vMerge w:val="restart"/>
            <w:vAlign w:val="top"/>
          </w:tcPr>
          <w:p w14:paraId="065B0FD1">
            <w:pPr>
              <w:pStyle w:val="437"/>
              <w:spacing w:before="39" w:line="240" w:lineRule="auto"/>
              <w:ind w:left="117" w:right="153" w:firstLine="1"/>
              <w:jc w:val="both"/>
              <w:rPr>
                <w:spacing w:val="-1"/>
                <w:sz w:val="24"/>
                <w:szCs w:val="24"/>
              </w:rPr>
            </w:pPr>
            <w:r>
              <w:rPr>
                <w:rFonts w:hint="eastAsia" w:ascii="宋体" w:hAnsi="宋体" w:eastAsia="宋体" w:cs="宋体"/>
                <w:spacing w:val="-1"/>
                <w:sz w:val="24"/>
                <w:szCs w:val="24"/>
              </w:rPr>
              <w:t>上岗人员有缺少或不符合要求扣</w:t>
            </w:r>
            <w:r>
              <w:rPr>
                <w:rFonts w:hint="eastAsia" w:ascii="宋体" w:hAnsi="宋体" w:eastAsia="宋体" w:cs="宋体"/>
                <w:spacing w:val="-2"/>
                <w:sz w:val="24"/>
                <w:szCs w:val="24"/>
              </w:rPr>
              <w:t>5</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分/人，聚众聊天、串岗离岗发</w:t>
            </w:r>
            <w:r>
              <w:rPr>
                <w:rFonts w:hint="eastAsia" w:ascii="宋体" w:hAnsi="宋体" w:eastAsia="宋体" w:cs="宋体"/>
                <w:spacing w:val="-7"/>
                <w:sz w:val="24"/>
                <w:szCs w:val="24"/>
              </w:rPr>
              <w:t>现</w:t>
            </w:r>
            <w:r>
              <w:rPr>
                <w:rFonts w:hint="eastAsia" w:ascii="宋体" w:hAnsi="宋体" w:eastAsia="宋体" w:cs="宋体"/>
                <w:spacing w:val="-25"/>
                <w:sz w:val="24"/>
                <w:szCs w:val="24"/>
              </w:rPr>
              <w:t xml:space="preserve"> </w:t>
            </w:r>
            <w:r>
              <w:rPr>
                <w:rFonts w:hint="eastAsia" w:ascii="宋体" w:hAnsi="宋体" w:eastAsia="宋体" w:cs="宋体"/>
                <w:spacing w:val="-7"/>
                <w:sz w:val="24"/>
                <w:szCs w:val="24"/>
              </w:rPr>
              <w:t>1</w:t>
            </w:r>
            <w:r>
              <w:rPr>
                <w:rFonts w:hint="eastAsia" w:ascii="宋体" w:hAnsi="宋体" w:eastAsia="宋体" w:cs="宋体"/>
                <w:spacing w:val="-49"/>
                <w:sz w:val="24"/>
                <w:szCs w:val="24"/>
              </w:rPr>
              <w:t xml:space="preserve"> </w:t>
            </w:r>
            <w:r>
              <w:rPr>
                <w:rFonts w:hint="eastAsia" w:ascii="宋体" w:hAnsi="宋体" w:eastAsia="宋体" w:cs="宋体"/>
                <w:spacing w:val="-7"/>
                <w:sz w:val="24"/>
                <w:szCs w:val="24"/>
              </w:rPr>
              <w:t>人扣</w:t>
            </w:r>
            <w:r>
              <w:rPr>
                <w:rFonts w:hint="eastAsia" w:ascii="宋体" w:hAnsi="宋体" w:eastAsia="宋体" w:cs="宋体"/>
                <w:spacing w:val="-33"/>
                <w:sz w:val="24"/>
                <w:szCs w:val="24"/>
              </w:rPr>
              <w:t xml:space="preserve"> </w:t>
            </w:r>
            <w:r>
              <w:rPr>
                <w:rFonts w:hint="eastAsia" w:ascii="宋体" w:hAnsi="宋体" w:eastAsia="宋体" w:cs="宋体"/>
                <w:spacing w:val="-7"/>
                <w:sz w:val="24"/>
                <w:szCs w:val="24"/>
              </w:rPr>
              <w:t>1</w:t>
            </w:r>
            <w:r>
              <w:rPr>
                <w:rFonts w:hint="eastAsia" w:ascii="宋体" w:hAnsi="宋体" w:eastAsia="宋体" w:cs="宋体"/>
                <w:spacing w:val="-47"/>
                <w:sz w:val="24"/>
                <w:szCs w:val="24"/>
              </w:rPr>
              <w:t xml:space="preserve"> </w:t>
            </w:r>
            <w:r>
              <w:rPr>
                <w:rFonts w:hint="eastAsia" w:ascii="宋体" w:hAnsi="宋体" w:eastAsia="宋体" w:cs="宋体"/>
                <w:spacing w:val="-7"/>
                <w:sz w:val="24"/>
                <w:szCs w:val="24"/>
              </w:rPr>
              <w:t>分；不着标志服装,每发现</w:t>
            </w:r>
            <w:r>
              <w:rPr>
                <w:rFonts w:hint="eastAsia" w:ascii="宋体" w:hAnsi="宋体" w:eastAsia="宋体" w:cs="宋体"/>
                <w:spacing w:val="-23"/>
                <w:sz w:val="24"/>
                <w:szCs w:val="24"/>
              </w:rPr>
              <w:t xml:space="preserve"> </w:t>
            </w:r>
            <w:r>
              <w:rPr>
                <w:rFonts w:hint="eastAsia" w:ascii="宋体" w:hAnsi="宋体" w:eastAsia="宋体" w:cs="宋体"/>
                <w:spacing w:val="-7"/>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人扣</w:t>
            </w:r>
            <w:r>
              <w:rPr>
                <w:rFonts w:hint="eastAsia" w:ascii="宋体" w:hAnsi="宋体" w:eastAsia="宋体" w:cs="宋体"/>
                <w:spacing w:val="-33"/>
                <w:sz w:val="24"/>
                <w:szCs w:val="24"/>
              </w:rPr>
              <w:t xml:space="preserve"> </w:t>
            </w:r>
            <w:r>
              <w:rPr>
                <w:rFonts w:hint="eastAsia" w:ascii="宋体" w:hAnsi="宋体" w:eastAsia="宋体" w:cs="宋体"/>
                <w:spacing w:val="-7"/>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7"/>
                <w:sz w:val="24"/>
                <w:szCs w:val="24"/>
              </w:rPr>
              <w:t>分。未按作业安全</w:t>
            </w:r>
            <w:r>
              <w:rPr>
                <w:rFonts w:hint="eastAsia" w:ascii="宋体" w:hAnsi="宋体" w:eastAsia="宋体" w:cs="宋体"/>
                <w:spacing w:val="-1"/>
                <w:sz w:val="24"/>
                <w:szCs w:val="24"/>
              </w:rPr>
              <w:t>操作规程进行登高、机械操作的</w:t>
            </w:r>
            <w:r>
              <w:rPr>
                <w:rFonts w:hint="eastAsia" w:ascii="宋体" w:hAnsi="宋体" w:eastAsia="宋体" w:cs="宋体"/>
                <w:spacing w:val="-4"/>
                <w:sz w:val="24"/>
                <w:szCs w:val="24"/>
              </w:rPr>
              <w:t>发现一次扣</w:t>
            </w:r>
            <w:r>
              <w:rPr>
                <w:rFonts w:hint="eastAsia" w:ascii="宋体" w:hAnsi="宋体" w:eastAsia="宋体" w:cs="宋体"/>
                <w:spacing w:val="-26"/>
                <w:sz w:val="24"/>
                <w:szCs w:val="24"/>
              </w:rPr>
              <w:t xml:space="preserve"> </w:t>
            </w:r>
            <w:r>
              <w:rPr>
                <w:rFonts w:hint="eastAsia" w:ascii="宋体" w:hAnsi="宋体" w:eastAsia="宋体" w:cs="宋体"/>
                <w:spacing w:val="-4"/>
                <w:sz w:val="24"/>
                <w:szCs w:val="24"/>
              </w:rPr>
              <w:t>1</w:t>
            </w:r>
            <w:r>
              <w:rPr>
                <w:rFonts w:hint="eastAsia" w:ascii="宋体" w:hAnsi="宋体" w:eastAsia="宋体" w:cs="宋体"/>
                <w:spacing w:val="-48"/>
                <w:sz w:val="24"/>
                <w:szCs w:val="24"/>
              </w:rPr>
              <w:t xml:space="preserve"> </w:t>
            </w:r>
            <w:r>
              <w:rPr>
                <w:rFonts w:hint="eastAsia" w:ascii="宋体" w:hAnsi="宋体" w:eastAsia="宋体" w:cs="宋体"/>
                <w:spacing w:val="-4"/>
                <w:sz w:val="24"/>
                <w:szCs w:val="24"/>
              </w:rPr>
              <w:t>分。不服从甲方管</w:t>
            </w:r>
            <w:r>
              <w:rPr>
                <w:rFonts w:hint="eastAsia" w:ascii="宋体" w:hAnsi="宋体" w:eastAsia="宋体" w:cs="宋体"/>
                <w:sz w:val="24"/>
                <w:szCs w:val="24"/>
              </w:rPr>
              <w:t xml:space="preserve">  </w:t>
            </w:r>
            <w:r>
              <w:rPr>
                <w:rFonts w:hint="eastAsia" w:ascii="宋体" w:hAnsi="宋体" w:eastAsia="宋体" w:cs="宋体"/>
                <w:spacing w:val="-1"/>
                <w:sz w:val="24"/>
                <w:szCs w:val="24"/>
              </w:rPr>
              <w:t>理，未能按要求完成任务的一次</w:t>
            </w:r>
            <w:r>
              <w:rPr>
                <w:rFonts w:hint="eastAsia" w:ascii="宋体" w:hAnsi="宋体" w:eastAsia="宋体" w:cs="宋体"/>
                <w:spacing w:val="-9"/>
                <w:sz w:val="24"/>
                <w:szCs w:val="24"/>
              </w:rPr>
              <w:t>扣</w:t>
            </w:r>
            <w:r>
              <w:rPr>
                <w:rFonts w:hint="eastAsia" w:ascii="宋体" w:hAnsi="宋体" w:eastAsia="宋体" w:cs="宋体"/>
                <w:spacing w:val="-46"/>
                <w:sz w:val="24"/>
                <w:szCs w:val="24"/>
              </w:rPr>
              <w:t xml:space="preserve"> </w:t>
            </w:r>
            <w:r>
              <w:rPr>
                <w:rFonts w:hint="eastAsia" w:ascii="宋体" w:hAnsi="宋体" w:eastAsia="宋体" w:cs="宋体"/>
                <w:spacing w:val="-9"/>
                <w:sz w:val="24"/>
                <w:szCs w:val="24"/>
              </w:rPr>
              <w:t>2</w:t>
            </w:r>
            <w:r>
              <w:rPr>
                <w:rFonts w:hint="eastAsia" w:ascii="宋体" w:hAnsi="宋体" w:eastAsia="宋体" w:cs="宋体"/>
                <w:spacing w:val="-48"/>
                <w:sz w:val="24"/>
                <w:szCs w:val="24"/>
              </w:rPr>
              <w:t xml:space="preserve"> </w:t>
            </w:r>
            <w:r>
              <w:rPr>
                <w:rFonts w:hint="eastAsia" w:ascii="宋体" w:hAnsi="宋体" w:eastAsia="宋体" w:cs="宋体"/>
                <w:spacing w:val="-9"/>
                <w:sz w:val="24"/>
                <w:szCs w:val="24"/>
              </w:rPr>
              <w:t>分。</w:t>
            </w:r>
          </w:p>
        </w:tc>
        <w:tc>
          <w:tcPr>
            <w:tcW w:w="1135" w:type="dxa"/>
            <w:vAlign w:val="top"/>
          </w:tcPr>
          <w:p w14:paraId="759DC0E3">
            <w:pPr>
              <w:spacing w:line="240" w:lineRule="auto"/>
              <w:rPr>
                <w:rFonts w:ascii="Arial"/>
                <w:sz w:val="24"/>
                <w:szCs w:val="24"/>
              </w:rPr>
            </w:pPr>
          </w:p>
        </w:tc>
      </w:tr>
      <w:tr w14:paraId="0190AD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6CBF8F86">
            <w:pPr>
              <w:pStyle w:val="437"/>
              <w:spacing w:before="78" w:line="240" w:lineRule="auto"/>
              <w:ind w:left="120" w:right="247"/>
              <w:rPr>
                <w:b/>
                <w:bCs/>
                <w:spacing w:val="-10"/>
                <w:sz w:val="24"/>
                <w:szCs w:val="24"/>
              </w:rPr>
            </w:pPr>
          </w:p>
        </w:tc>
        <w:tc>
          <w:tcPr>
            <w:tcW w:w="777" w:type="dxa"/>
            <w:vMerge w:val="continue"/>
            <w:vAlign w:val="top"/>
          </w:tcPr>
          <w:p w14:paraId="27A86DDD">
            <w:pPr>
              <w:pStyle w:val="437"/>
              <w:spacing w:before="78" w:line="240" w:lineRule="auto"/>
              <w:ind w:left="130"/>
              <w:rPr>
                <w:b/>
                <w:bCs/>
                <w:spacing w:val="-15"/>
                <w:sz w:val="24"/>
                <w:szCs w:val="24"/>
              </w:rPr>
            </w:pPr>
          </w:p>
        </w:tc>
        <w:tc>
          <w:tcPr>
            <w:tcW w:w="3348" w:type="dxa"/>
            <w:shd w:val="clear" w:color="auto" w:fill="auto"/>
            <w:vAlign w:val="top"/>
          </w:tcPr>
          <w:p w14:paraId="5D971A36">
            <w:pPr>
              <w:pStyle w:val="437"/>
              <w:spacing w:before="42" w:line="240" w:lineRule="auto"/>
              <w:ind w:left="111" w:leftChars="0" w:right="105" w:rightChars="0" w:firstLine="3" w:firstLineChars="0"/>
              <w:rPr>
                <w:rFonts w:hint="eastAsia" w:ascii="宋体" w:hAnsi="宋体" w:eastAsia="宋体" w:cs="宋体"/>
                <w:sz w:val="24"/>
                <w:szCs w:val="24"/>
                <w:lang w:val="en-US" w:eastAsia="en-US" w:bidi="ar-SA"/>
              </w:rPr>
            </w:pPr>
            <w:r>
              <w:rPr>
                <w:rFonts w:hint="eastAsia" w:ascii="宋体" w:hAnsi="宋体" w:eastAsia="宋体" w:cs="宋体"/>
                <w:spacing w:val="-9"/>
                <w:sz w:val="24"/>
                <w:szCs w:val="24"/>
              </w:rPr>
              <w:t>2、安全要求，按绿化作业安全</w:t>
            </w:r>
            <w:r>
              <w:rPr>
                <w:rFonts w:hint="eastAsia" w:ascii="宋体" w:hAnsi="宋体" w:eastAsia="宋体" w:cs="宋体"/>
                <w:spacing w:val="-2"/>
                <w:sz w:val="24"/>
                <w:szCs w:val="24"/>
              </w:rPr>
              <w:t>操作规程执行。</w:t>
            </w:r>
          </w:p>
        </w:tc>
        <w:tc>
          <w:tcPr>
            <w:tcW w:w="3947" w:type="dxa"/>
            <w:gridSpan w:val="2"/>
            <w:vMerge w:val="continue"/>
            <w:vAlign w:val="top"/>
          </w:tcPr>
          <w:p w14:paraId="36B7B113">
            <w:pPr>
              <w:pStyle w:val="437"/>
              <w:spacing w:before="39" w:line="240" w:lineRule="auto"/>
              <w:ind w:left="117" w:right="153" w:firstLine="1"/>
              <w:jc w:val="both"/>
              <w:rPr>
                <w:spacing w:val="-1"/>
                <w:sz w:val="24"/>
                <w:szCs w:val="24"/>
              </w:rPr>
            </w:pPr>
          </w:p>
        </w:tc>
        <w:tc>
          <w:tcPr>
            <w:tcW w:w="1135" w:type="dxa"/>
            <w:vAlign w:val="top"/>
          </w:tcPr>
          <w:p w14:paraId="2491FAFF">
            <w:pPr>
              <w:spacing w:line="240" w:lineRule="auto"/>
              <w:rPr>
                <w:rFonts w:ascii="Arial"/>
                <w:sz w:val="24"/>
                <w:szCs w:val="24"/>
              </w:rPr>
            </w:pPr>
          </w:p>
        </w:tc>
      </w:tr>
      <w:tr w14:paraId="5B3D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Merge w:val="continue"/>
            <w:vAlign w:val="top"/>
          </w:tcPr>
          <w:p w14:paraId="1C336FC2">
            <w:pPr>
              <w:pStyle w:val="437"/>
              <w:spacing w:before="78" w:line="240" w:lineRule="auto"/>
              <w:ind w:left="120" w:right="247"/>
              <w:rPr>
                <w:b/>
                <w:bCs/>
                <w:spacing w:val="-10"/>
                <w:sz w:val="24"/>
                <w:szCs w:val="24"/>
              </w:rPr>
            </w:pPr>
          </w:p>
        </w:tc>
        <w:tc>
          <w:tcPr>
            <w:tcW w:w="777" w:type="dxa"/>
            <w:vMerge w:val="continue"/>
            <w:vAlign w:val="top"/>
          </w:tcPr>
          <w:p w14:paraId="2A863DE6">
            <w:pPr>
              <w:pStyle w:val="437"/>
              <w:spacing w:before="78" w:line="240" w:lineRule="auto"/>
              <w:ind w:left="130"/>
              <w:rPr>
                <w:b/>
                <w:bCs/>
                <w:spacing w:val="-15"/>
                <w:sz w:val="24"/>
                <w:szCs w:val="24"/>
              </w:rPr>
            </w:pPr>
          </w:p>
        </w:tc>
        <w:tc>
          <w:tcPr>
            <w:tcW w:w="3348" w:type="dxa"/>
            <w:shd w:val="clear" w:color="auto" w:fill="auto"/>
            <w:vAlign w:val="top"/>
          </w:tcPr>
          <w:p w14:paraId="6F981D8A">
            <w:pPr>
              <w:pStyle w:val="437"/>
              <w:spacing w:before="262" w:line="240" w:lineRule="auto"/>
              <w:ind w:left="113" w:leftChars="0" w:right="119" w:rightChars="0" w:firstLine="3" w:firstLineChars="0"/>
              <w:rPr>
                <w:rFonts w:hint="eastAsia" w:ascii="宋体" w:hAnsi="宋体" w:eastAsia="宋体" w:cs="宋体"/>
                <w:sz w:val="24"/>
                <w:szCs w:val="24"/>
                <w:lang w:val="en-US" w:eastAsia="en-US" w:bidi="ar-SA"/>
              </w:rPr>
            </w:pPr>
            <w:r>
              <w:rPr>
                <w:rFonts w:hint="eastAsia" w:ascii="宋体" w:hAnsi="宋体" w:eastAsia="宋体" w:cs="宋体"/>
                <w:spacing w:val="-2"/>
                <w:sz w:val="24"/>
                <w:szCs w:val="24"/>
              </w:rPr>
              <w:t>3、服从甲方统一管理,完成甲方安排的各项任务。</w:t>
            </w:r>
          </w:p>
        </w:tc>
        <w:tc>
          <w:tcPr>
            <w:tcW w:w="3947" w:type="dxa"/>
            <w:gridSpan w:val="2"/>
            <w:vMerge w:val="continue"/>
            <w:vAlign w:val="top"/>
          </w:tcPr>
          <w:p w14:paraId="13552E02">
            <w:pPr>
              <w:pStyle w:val="437"/>
              <w:spacing w:before="39" w:line="240" w:lineRule="auto"/>
              <w:ind w:left="117" w:right="153" w:firstLine="1"/>
              <w:jc w:val="both"/>
              <w:rPr>
                <w:spacing w:val="-1"/>
                <w:sz w:val="24"/>
                <w:szCs w:val="24"/>
              </w:rPr>
            </w:pPr>
          </w:p>
        </w:tc>
        <w:tc>
          <w:tcPr>
            <w:tcW w:w="1135" w:type="dxa"/>
            <w:vAlign w:val="top"/>
          </w:tcPr>
          <w:p w14:paraId="07F50703">
            <w:pPr>
              <w:spacing w:line="240" w:lineRule="auto"/>
              <w:rPr>
                <w:rFonts w:ascii="Arial"/>
                <w:sz w:val="24"/>
                <w:szCs w:val="24"/>
              </w:rPr>
            </w:pPr>
          </w:p>
        </w:tc>
      </w:tr>
      <w:tr w14:paraId="18D726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shd w:val="clear" w:color="auto" w:fill="auto"/>
            <w:vAlign w:val="center"/>
          </w:tcPr>
          <w:p w14:paraId="3A42CC99">
            <w:pPr>
              <w:pStyle w:val="437"/>
              <w:spacing w:before="40" w:line="240" w:lineRule="auto"/>
              <w:ind w:left="117" w:leftChars="0"/>
              <w:jc w:val="center"/>
              <w:rPr>
                <w:rFonts w:hint="eastAsia" w:ascii="宋体" w:hAnsi="宋体" w:eastAsia="宋体" w:cs="宋体"/>
                <w:sz w:val="24"/>
                <w:szCs w:val="24"/>
                <w:lang w:val="en-US" w:eastAsia="en-US" w:bidi="ar-SA"/>
              </w:rPr>
            </w:pPr>
            <w:r>
              <w:rPr>
                <w:rFonts w:hint="eastAsia" w:ascii="宋体" w:hAnsi="宋体" w:eastAsia="宋体" w:cs="宋体"/>
                <w:b/>
                <w:bCs/>
                <w:spacing w:val="-8"/>
                <w:sz w:val="24"/>
                <w:szCs w:val="24"/>
              </w:rPr>
              <w:t>合计</w:t>
            </w:r>
          </w:p>
        </w:tc>
        <w:tc>
          <w:tcPr>
            <w:tcW w:w="777" w:type="dxa"/>
            <w:shd w:val="clear" w:color="auto" w:fill="auto"/>
            <w:vAlign w:val="center"/>
          </w:tcPr>
          <w:p w14:paraId="70B9EEE9">
            <w:pPr>
              <w:pStyle w:val="437"/>
              <w:spacing w:before="78" w:line="240" w:lineRule="auto"/>
              <w:ind w:left="130" w:leftChars="0"/>
              <w:jc w:val="center"/>
              <w:rPr>
                <w:rFonts w:hint="eastAsia" w:ascii="宋体" w:hAnsi="宋体" w:eastAsia="宋体" w:cs="宋体"/>
                <w:sz w:val="24"/>
                <w:szCs w:val="24"/>
                <w:lang w:val="en-US" w:eastAsia="en-US" w:bidi="ar-SA"/>
              </w:rPr>
            </w:pPr>
            <w:r>
              <w:rPr>
                <w:rFonts w:hint="eastAsia" w:ascii="宋体" w:hAnsi="宋体" w:eastAsia="宋体" w:cs="宋体"/>
                <w:b/>
                <w:bCs/>
                <w:spacing w:val="-11"/>
                <w:sz w:val="24"/>
                <w:szCs w:val="24"/>
              </w:rPr>
              <w:t>100</w:t>
            </w:r>
          </w:p>
        </w:tc>
        <w:tc>
          <w:tcPr>
            <w:tcW w:w="3348" w:type="dxa"/>
            <w:shd w:val="clear" w:color="auto" w:fill="auto"/>
            <w:vAlign w:val="center"/>
          </w:tcPr>
          <w:p w14:paraId="3F5C39E6">
            <w:pPr>
              <w:pStyle w:val="437"/>
              <w:spacing w:before="262" w:line="240" w:lineRule="auto"/>
              <w:ind w:left="113" w:leftChars="0" w:right="119" w:rightChars="0" w:firstLine="3" w:firstLineChars="0"/>
              <w:jc w:val="center"/>
              <w:rPr>
                <w:rFonts w:hint="eastAsia" w:ascii="宋体" w:hAnsi="宋体" w:eastAsia="宋体" w:cs="宋体"/>
                <w:spacing w:val="-2"/>
                <w:sz w:val="24"/>
                <w:szCs w:val="24"/>
              </w:rPr>
            </w:pPr>
          </w:p>
        </w:tc>
        <w:tc>
          <w:tcPr>
            <w:tcW w:w="2753" w:type="dxa"/>
            <w:vAlign w:val="center"/>
          </w:tcPr>
          <w:p w14:paraId="011C7402">
            <w:pPr>
              <w:pStyle w:val="437"/>
              <w:spacing w:before="39" w:line="240" w:lineRule="auto"/>
              <w:ind w:left="117" w:right="153" w:firstLine="1"/>
              <w:jc w:val="center"/>
              <w:rPr>
                <w:spacing w:val="-1"/>
                <w:sz w:val="24"/>
                <w:szCs w:val="24"/>
              </w:rPr>
            </w:pPr>
          </w:p>
        </w:tc>
        <w:tc>
          <w:tcPr>
            <w:tcW w:w="1194" w:type="dxa"/>
            <w:vAlign w:val="center"/>
          </w:tcPr>
          <w:p w14:paraId="6B62805B">
            <w:pPr>
              <w:pStyle w:val="437"/>
              <w:spacing w:before="39" w:line="240" w:lineRule="auto"/>
              <w:ind w:left="117" w:right="153" w:firstLine="1"/>
              <w:jc w:val="center"/>
              <w:rPr>
                <w:spacing w:val="-1"/>
                <w:sz w:val="24"/>
                <w:szCs w:val="24"/>
              </w:rPr>
            </w:pPr>
            <w:r>
              <w:rPr>
                <w:rFonts w:hint="eastAsia" w:ascii="宋体" w:hAnsi="宋体" w:eastAsia="宋体" w:cs="宋体"/>
                <w:spacing w:val="-6"/>
                <w:sz w:val="24"/>
                <w:szCs w:val="24"/>
              </w:rPr>
              <w:t>得分</w:t>
            </w:r>
          </w:p>
        </w:tc>
        <w:tc>
          <w:tcPr>
            <w:tcW w:w="1135" w:type="dxa"/>
            <w:vAlign w:val="center"/>
          </w:tcPr>
          <w:p w14:paraId="45A20D4B">
            <w:pPr>
              <w:spacing w:line="240" w:lineRule="auto"/>
              <w:jc w:val="center"/>
              <w:rPr>
                <w:rFonts w:ascii="Arial"/>
                <w:sz w:val="24"/>
                <w:szCs w:val="24"/>
              </w:rPr>
            </w:pPr>
          </w:p>
        </w:tc>
      </w:tr>
      <w:tr w14:paraId="7C0284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8" w:hRule="atLeast"/>
          <w:jc w:val="center"/>
        </w:trPr>
        <w:tc>
          <w:tcPr>
            <w:tcW w:w="839" w:type="dxa"/>
            <w:vAlign w:val="top"/>
          </w:tcPr>
          <w:p w14:paraId="224F97E7">
            <w:pPr>
              <w:spacing w:line="240" w:lineRule="auto"/>
              <w:rPr>
                <w:rFonts w:ascii="Arial"/>
                <w:sz w:val="24"/>
                <w:szCs w:val="24"/>
              </w:rPr>
            </w:pPr>
          </w:p>
          <w:p w14:paraId="0AA87F8D">
            <w:pPr>
              <w:spacing w:line="240" w:lineRule="auto"/>
              <w:rPr>
                <w:rFonts w:ascii="Arial"/>
                <w:sz w:val="24"/>
                <w:szCs w:val="24"/>
              </w:rPr>
            </w:pPr>
          </w:p>
          <w:p w14:paraId="20806C4C">
            <w:pPr>
              <w:pStyle w:val="437"/>
              <w:spacing w:before="78" w:line="240" w:lineRule="auto"/>
              <w:ind w:left="117" w:leftChars="0" w:right="247" w:rightChars="0" w:hanging="1" w:firstLineChars="0"/>
              <w:rPr>
                <w:b/>
                <w:bCs/>
                <w:spacing w:val="-10"/>
                <w:sz w:val="24"/>
                <w:szCs w:val="24"/>
              </w:rPr>
            </w:pPr>
            <w:r>
              <w:rPr>
                <w:spacing w:val="-5"/>
                <w:sz w:val="24"/>
                <w:szCs w:val="24"/>
              </w:rPr>
              <w:t>特别</w:t>
            </w:r>
            <w:r>
              <w:rPr>
                <w:sz w:val="24"/>
                <w:szCs w:val="24"/>
              </w:rPr>
              <w:t xml:space="preserve"> </w:t>
            </w:r>
            <w:r>
              <w:rPr>
                <w:spacing w:val="-6"/>
                <w:sz w:val="24"/>
                <w:szCs w:val="24"/>
              </w:rPr>
              <w:t>条款</w:t>
            </w:r>
          </w:p>
        </w:tc>
        <w:tc>
          <w:tcPr>
            <w:tcW w:w="8072" w:type="dxa"/>
            <w:gridSpan w:val="4"/>
            <w:vAlign w:val="top"/>
          </w:tcPr>
          <w:p w14:paraId="355BE9EF">
            <w:pPr>
              <w:pStyle w:val="437"/>
              <w:spacing w:before="40" w:line="240" w:lineRule="auto"/>
              <w:ind w:left="112"/>
              <w:rPr>
                <w:sz w:val="24"/>
                <w:szCs w:val="24"/>
              </w:rPr>
            </w:pPr>
            <w:r>
              <w:rPr>
                <w:spacing w:val="-2"/>
                <w:sz w:val="24"/>
                <w:szCs w:val="24"/>
              </w:rPr>
              <w:t>被媒体曝光或受到各级领导通报批评的，发生一次扣</w:t>
            </w:r>
            <w:r>
              <w:rPr>
                <w:spacing w:val="-31"/>
                <w:sz w:val="24"/>
                <w:szCs w:val="24"/>
              </w:rPr>
              <w:t xml:space="preserve"> </w:t>
            </w:r>
            <w:r>
              <w:rPr>
                <w:spacing w:val="-2"/>
                <w:sz w:val="24"/>
                <w:szCs w:val="24"/>
              </w:rPr>
              <w:t>5</w:t>
            </w:r>
            <w:r>
              <w:rPr>
                <w:spacing w:val="-48"/>
                <w:sz w:val="24"/>
                <w:szCs w:val="24"/>
              </w:rPr>
              <w:t xml:space="preserve"> </w:t>
            </w:r>
            <w:r>
              <w:rPr>
                <w:spacing w:val="-2"/>
                <w:sz w:val="24"/>
                <w:szCs w:val="24"/>
              </w:rPr>
              <w:t>分；</w:t>
            </w:r>
          </w:p>
          <w:p w14:paraId="6B475477">
            <w:pPr>
              <w:pStyle w:val="437"/>
              <w:spacing w:before="182" w:line="240" w:lineRule="auto"/>
              <w:ind w:left="123" w:right="261" w:hanging="8"/>
              <w:rPr>
                <w:sz w:val="24"/>
                <w:szCs w:val="24"/>
              </w:rPr>
            </w:pPr>
            <w:r>
              <w:rPr>
                <w:spacing w:val="-1"/>
                <w:sz w:val="24"/>
                <w:szCs w:val="24"/>
              </w:rPr>
              <w:t>各部门发现的问题或者群众来信来访未能及时整改处理或回复处理不及</w:t>
            </w:r>
            <w:r>
              <w:rPr>
                <w:spacing w:val="17"/>
                <w:sz w:val="24"/>
                <w:szCs w:val="24"/>
              </w:rPr>
              <w:t xml:space="preserve"> </w:t>
            </w:r>
            <w:r>
              <w:rPr>
                <w:spacing w:val="-4"/>
                <w:sz w:val="24"/>
                <w:szCs w:val="24"/>
              </w:rPr>
              <w:t>时、不真实的，每次扣</w:t>
            </w:r>
            <w:r>
              <w:rPr>
                <w:spacing w:val="-42"/>
                <w:sz w:val="24"/>
                <w:szCs w:val="24"/>
              </w:rPr>
              <w:t xml:space="preserve"> </w:t>
            </w:r>
            <w:r>
              <w:rPr>
                <w:spacing w:val="-4"/>
                <w:sz w:val="24"/>
                <w:szCs w:val="24"/>
              </w:rPr>
              <w:t>5</w:t>
            </w:r>
            <w:r>
              <w:rPr>
                <w:spacing w:val="-48"/>
                <w:sz w:val="24"/>
                <w:szCs w:val="24"/>
              </w:rPr>
              <w:t xml:space="preserve"> </w:t>
            </w:r>
            <w:r>
              <w:rPr>
                <w:spacing w:val="-4"/>
                <w:sz w:val="24"/>
                <w:szCs w:val="24"/>
              </w:rPr>
              <w:t>分；</w:t>
            </w:r>
          </w:p>
          <w:p w14:paraId="5197F303">
            <w:pPr>
              <w:pStyle w:val="437"/>
              <w:spacing w:before="37" w:line="240" w:lineRule="auto"/>
              <w:ind w:left="111" w:leftChars="0" w:right="102" w:rightChars="0"/>
              <w:rPr>
                <w:spacing w:val="-1"/>
                <w:sz w:val="24"/>
                <w:szCs w:val="24"/>
              </w:rPr>
            </w:pPr>
            <w:r>
              <w:rPr>
                <w:spacing w:val="-3"/>
                <w:sz w:val="24"/>
                <w:szCs w:val="24"/>
              </w:rPr>
              <w:t>城市长效管理，常州市及溧阳市考评因绿地管理出现扣分的，直接按其考</w:t>
            </w:r>
            <w:r>
              <w:rPr>
                <w:spacing w:val="4"/>
                <w:sz w:val="24"/>
                <w:szCs w:val="24"/>
              </w:rPr>
              <w:t xml:space="preserve"> </w:t>
            </w:r>
            <w:r>
              <w:rPr>
                <w:spacing w:val="-1"/>
                <w:sz w:val="24"/>
                <w:szCs w:val="24"/>
              </w:rPr>
              <w:t>评扣分的双倍扣除。</w:t>
            </w:r>
          </w:p>
        </w:tc>
        <w:tc>
          <w:tcPr>
            <w:tcW w:w="1135" w:type="dxa"/>
            <w:vAlign w:val="top"/>
          </w:tcPr>
          <w:p w14:paraId="445BCAAA">
            <w:pPr>
              <w:spacing w:line="240" w:lineRule="auto"/>
              <w:rPr>
                <w:rFonts w:ascii="Arial"/>
                <w:sz w:val="24"/>
                <w:szCs w:val="24"/>
              </w:rPr>
            </w:pPr>
          </w:p>
        </w:tc>
      </w:tr>
    </w:tbl>
    <w:p w14:paraId="60B0900F">
      <w:pPr>
        <w:spacing w:line="240" w:lineRule="auto"/>
        <w:rPr>
          <w:rFonts w:ascii="Arial"/>
          <w:sz w:val="24"/>
          <w:szCs w:val="24"/>
        </w:rPr>
      </w:pPr>
    </w:p>
    <w:p w14:paraId="0BF448B4">
      <w:pPr>
        <w:pStyle w:val="13"/>
        <w:spacing w:before="36" w:line="219" w:lineRule="auto"/>
      </w:pPr>
      <w:r>
        <w:rPr>
          <w:spacing w:val="-1"/>
        </w:rPr>
        <w:t>说明：1、考核细则实施扣分，每一项扣分以扣完本项目分值为止。</w:t>
      </w:r>
    </w:p>
    <w:p w14:paraId="7DB45A05">
      <w:pPr>
        <w:pStyle w:val="13"/>
        <w:spacing w:before="183" w:line="350" w:lineRule="auto"/>
        <w:ind w:right="71" w:firstLine="702" w:firstLineChars="300"/>
        <w:jc w:val="both"/>
      </w:pPr>
      <w:r>
        <w:rPr>
          <w:spacing w:val="-3"/>
        </w:rPr>
        <w:t>2、</w:t>
      </w:r>
      <w:r>
        <w:rPr>
          <w:spacing w:val="-69"/>
        </w:rPr>
        <w:t xml:space="preserve"> </w:t>
      </w:r>
      <w:r>
        <w:rPr>
          <w:spacing w:val="-3"/>
        </w:rPr>
        <w:t>日常考核时，对于人员上岗、着装、</w:t>
      </w:r>
      <w:r>
        <w:rPr>
          <w:spacing w:val="-70"/>
        </w:rPr>
        <w:t xml:space="preserve"> </w:t>
      </w:r>
      <w:r>
        <w:rPr>
          <w:spacing w:val="-3"/>
        </w:rPr>
        <w:t>日常保洁、病虫</w:t>
      </w:r>
      <w:r>
        <w:rPr>
          <w:spacing w:val="-4"/>
        </w:rPr>
        <w:t>害以及一些直接造成损</w:t>
      </w:r>
      <w:r>
        <w:t xml:space="preserve"> </w:t>
      </w:r>
      <w:r>
        <w:rPr>
          <w:spacing w:val="-1"/>
        </w:rPr>
        <w:t>害的问题直接扣分；其他问题按要求整改处理，</w:t>
      </w:r>
      <w:r>
        <w:rPr>
          <w:spacing w:val="-2"/>
        </w:rPr>
        <w:t>在规定期限未能处理到位的进行扣分。</w:t>
      </w:r>
      <w:r>
        <w:t xml:space="preserve"> </w:t>
      </w:r>
      <w:r>
        <w:rPr>
          <w:spacing w:val="-2"/>
        </w:rPr>
        <w:t>月考核中，发现问题直接扣分。</w:t>
      </w:r>
    </w:p>
    <w:p w14:paraId="12B307A4">
      <w:pPr>
        <w:pStyle w:val="13"/>
        <w:keepNext w:val="0"/>
        <w:keepLines w:val="0"/>
        <w:pageBreakBefore w:val="0"/>
        <w:widowControl w:val="0"/>
        <w:kinsoku/>
        <w:wordWrap/>
        <w:overflowPunct/>
        <w:topLinePunct w:val="0"/>
        <w:autoSpaceDE/>
        <w:autoSpaceDN/>
        <w:bidi w:val="0"/>
        <w:adjustRightInd/>
        <w:snapToGrid w:val="0"/>
        <w:spacing w:before="33" w:line="360" w:lineRule="auto"/>
        <w:ind w:firstLine="466" w:firstLineChars="200"/>
        <w:textAlignment w:val="auto"/>
        <w:rPr>
          <w:b/>
          <w:bCs/>
          <w:spacing w:val="-4"/>
        </w:rPr>
      </w:pPr>
      <w:r>
        <w:rPr>
          <w:b/>
          <w:bCs/>
          <w:spacing w:val="-4"/>
        </w:rPr>
        <w:t>5、报价验收要求</w:t>
      </w:r>
    </w:p>
    <w:p w14:paraId="3DBEB365">
      <w:pPr>
        <w:pStyle w:val="13"/>
        <w:keepNext w:val="0"/>
        <w:keepLines w:val="0"/>
        <w:pageBreakBefore w:val="0"/>
        <w:widowControl w:val="0"/>
        <w:kinsoku/>
        <w:wordWrap/>
        <w:overflowPunct/>
        <w:topLinePunct w:val="0"/>
        <w:autoSpaceDE/>
        <w:autoSpaceDN/>
        <w:bidi w:val="0"/>
        <w:adjustRightInd/>
        <w:snapToGrid w:val="0"/>
        <w:spacing w:before="33" w:line="360" w:lineRule="auto"/>
        <w:ind w:firstLine="484" w:firstLineChars="200"/>
        <w:textAlignment w:val="auto"/>
        <w:rPr>
          <w:spacing w:val="-3"/>
        </w:rPr>
      </w:pPr>
      <w:r>
        <w:rPr>
          <w:spacing w:val="1"/>
        </w:rPr>
        <w:t>5.1</w:t>
      </w:r>
      <w:r>
        <w:rPr>
          <w:spacing w:val="-41"/>
        </w:rPr>
        <w:t xml:space="preserve"> </w:t>
      </w:r>
      <w:r>
        <w:rPr>
          <w:spacing w:val="1"/>
        </w:rPr>
        <w:t>供应商应对所投项目的全部内容进行报价，只投其中部分内容者，其标书将被</w:t>
      </w:r>
      <w:r>
        <w:t xml:space="preserve"> </w:t>
      </w:r>
      <w:r>
        <w:rPr>
          <w:spacing w:val="-3"/>
        </w:rPr>
        <w:t>拒绝。</w:t>
      </w:r>
    </w:p>
    <w:p w14:paraId="67BBC748">
      <w:pPr>
        <w:pStyle w:val="13"/>
        <w:keepNext w:val="0"/>
        <w:keepLines w:val="0"/>
        <w:pageBreakBefore w:val="0"/>
        <w:widowControl w:val="0"/>
        <w:kinsoku/>
        <w:wordWrap/>
        <w:overflowPunct/>
        <w:topLinePunct w:val="0"/>
        <w:autoSpaceDE/>
        <w:autoSpaceDN/>
        <w:bidi w:val="0"/>
        <w:adjustRightInd/>
        <w:snapToGrid w:val="0"/>
        <w:spacing w:before="33" w:line="360" w:lineRule="auto"/>
        <w:ind w:firstLine="476" w:firstLineChars="200"/>
        <w:textAlignment w:val="auto"/>
        <w:rPr>
          <w:spacing w:val="-2"/>
        </w:rPr>
      </w:pPr>
      <w:r>
        <w:rPr>
          <w:spacing w:val="-1"/>
        </w:rPr>
        <w:t>5.2</w:t>
      </w:r>
      <w:r>
        <w:rPr>
          <w:spacing w:val="-51"/>
        </w:rPr>
        <w:t xml:space="preserve"> </w:t>
      </w:r>
      <w:r>
        <w:rPr>
          <w:spacing w:val="-1"/>
        </w:rPr>
        <w:t>供应商在投报价格时应充分考虑以下</w:t>
      </w:r>
      <w:r>
        <w:rPr>
          <w:spacing w:val="-2"/>
        </w:rPr>
        <w:t>因素：</w:t>
      </w:r>
    </w:p>
    <w:p w14:paraId="3A48DDC2">
      <w:pPr>
        <w:pStyle w:val="13"/>
        <w:keepNext w:val="0"/>
        <w:keepLines w:val="0"/>
        <w:pageBreakBefore w:val="0"/>
        <w:widowControl w:val="0"/>
        <w:kinsoku/>
        <w:wordWrap/>
        <w:overflowPunct/>
        <w:topLinePunct w:val="0"/>
        <w:autoSpaceDE/>
        <w:autoSpaceDN/>
        <w:bidi w:val="0"/>
        <w:adjustRightInd/>
        <w:snapToGrid w:val="0"/>
        <w:spacing w:before="33" w:line="360" w:lineRule="auto"/>
        <w:ind w:firstLine="476" w:firstLineChars="200"/>
        <w:textAlignment w:val="auto"/>
        <w:rPr>
          <w:spacing w:val="-1"/>
        </w:rPr>
      </w:pPr>
      <w:r>
        <w:rPr>
          <w:spacing w:val="-1"/>
        </w:rPr>
        <w:t>5.2.1 各供应商应结合绿地养护等级要求进行报价；</w:t>
      </w:r>
    </w:p>
    <w:p w14:paraId="0B071D62">
      <w:pPr>
        <w:pStyle w:val="13"/>
        <w:keepNext w:val="0"/>
        <w:keepLines w:val="0"/>
        <w:pageBreakBefore w:val="0"/>
        <w:widowControl w:val="0"/>
        <w:kinsoku/>
        <w:wordWrap/>
        <w:overflowPunct/>
        <w:topLinePunct w:val="0"/>
        <w:autoSpaceDE/>
        <w:autoSpaceDN/>
        <w:bidi w:val="0"/>
        <w:adjustRightInd/>
        <w:snapToGrid w:val="0"/>
        <w:spacing w:line="360" w:lineRule="auto"/>
        <w:ind w:left="0" w:firstLine="464" w:firstLineChars="200"/>
        <w:jc w:val="left"/>
        <w:textAlignment w:val="auto"/>
        <w:rPr>
          <w:spacing w:val="-1"/>
        </w:rPr>
      </w:pPr>
      <w:r>
        <w:rPr>
          <w:spacing w:val="-4"/>
        </w:rPr>
        <w:t>5.2.2 报价包括但不限于：绿化养护费用、员工费用和管理人员费用、离职补</w:t>
      </w:r>
      <w:r>
        <w:rPr>
          <w:spacing w:val="-5"/>
        </w:rPr>
        <w:t>偿金、</w:t>
      </w:r>
      <w:r>
        <w:t xml:space="preserve"> </w:t>
      </w:r>
      <w:r>
        <w:rPr>
          <w:spacing w:val="1"/>
        </w:rPr>
        <w:t>社会保险、通讯费、服装费、管理费、培训费、办公费、各类加</w:t>
      </w:r>
      <w:r>
        <w:t>班费、岗位补贴、 高温费、员工福利、利润、设备、工具、消耗品、工会费、各种税费、政策性文件</w:t>
      </w:r>
      <w:r>
        <w:rPr>
          <w:spacing w:val="2"/>
        </w:rPr>
        <w:t xml:space="preserve"> </w:t>
      </w:r>
      <w:r>
        <w:t>规定及合同明示或暗示的所有风险、责任、义务等各项应有的费用。采购人不接受</w:t>
      </w:r>
      <w:r>
        <w:rPr>
          <w:spacing w:val="2"/>
        </w:rPr>
        <w:t xml:space="preserve"> </w:t>
      </w:r>
      <w:r>
        <w:t>供应商任何因遗漏报价而发生的费用追加，因供应商违反《劳动法》等法律法规而</w:t>
      </w:r>
      <w:r>
        <w:rPr>
          <w:spacing w:val="2"/>
        </w:rPr>
        <w:t xml:space="preserve"> </w:t>
      </w:r>
      <w:r>
        <w:rPr>
          <w:spacing w:val="-1"/>
        </w:rPr>
        <w:t>造成采购人的连带责任和损失全部由供应商承担。</w:t>
      </w:r>
    </w:p>
    <w:p w14:paraId="739A46BA">
      <w:pPr>
        <w:pStyle w:val="13"/>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spacing w:val="-1"/>
        </w:rPr>
      </w:pPr>
      <w:r>
        <w:t>5.2.3 本合同采用总价打包制，合同期内费用一律不予调整，供应商对一</w:t>
      </w:r>
      <w:r>
        <w:rPr>
          <w:spacing w:val="-1"/>
        </w:rPr>
        <w:t>般突发性</w:t>
      </w:r>
      <w:r>
        <w:t xml:space="preserve"> 事件必须有相应的应对措施，并考虑合同期内的物价、政策等所有风险因素，在投</w:t>
      </w:r>
      <w:r>
        <w:rPr>
          <w:spacing w:val="2"/>
        </w:rPr>
        <w:t xml:space="preserve"> </w:t>
      </w:r>
      <w:r>
        <w:t>标时自行预测并纳入投标总价中。服务期间，如遇国家出台提高最低工资和最低社</w:t>
      </w:r>
      <w:r>
        <w:rPr>
          <w:spacing w:val="2"/>
        </w:rPr>
        <w:t xml:space="preserve"> </w:t>
      </w:r>
      <w:r>
        <w:t>会保险缴纳基数标准等强制性规定，供应商必须保障其员工的基本法定待遇，采购</w:t>
      </w:r>
      <w:r>
        <w:rPr>
          <w:spacing w:val="2"/>
        </w:rPr>
        <w:t xml:space="preserve"> </w:t>
      </w:r>
      <w:r>
        <w:t>人不承担增加的有关费用。各投标单位应充分考虑恢复因人为因素造成对苗木、设</w:t>
      </w:r>
      <w:r>
        <w:rPr>
          <w:spacing w:val="2"/>
        </w:rPr>
        <w:t xml:space="preserve"> </w:t>
      </w:r>
      <w:r>
        <w:t>施等损坏所发生的费用。 报价中含水电费、肥料、农</w:t>
      </w:r>
      <w:r>
        <w:rPr>
          <w:spacing w:val="-1"/>
        </w:rPr>
        <w:t>药等，水源自行解决。</w:t>
      </w:r>
    </w:p>
    <w:p w14:paraId="29F09BAC">
      <w:pPr>
        <w:pStyle w:val="13"/>
        <w:keepNext w:val="0"/>
        <w:keepLines w:val="0"/>
        <w:pageBreakBefore w:val="0"/>
        <w:widowControl w:val="0"/>
        <w:kinsoku/>
        <w:wordWrap/>
        <w:overflowPunct/>
        <w:topLinePunct w:val="0"/>
        <w:autoSpaceDE/>
        <w:autoSpaceDN/>
        <w:bidi w:val="0"/>
        <w:adjustRightInd/>
        <w:snapToGrid w:val="0"/>
        <w:spacing w:line="360" w:lineRule="auto"/>
        <w:ind w:left="0" w:firstLine="464" w:firstLineChars="200"/>
        <w:jc w:val="left"/>
        <w:textAlignment w:val="auto"/>
        <w:rPr>
          <w:spacing w:val="-2"/>
        </w:rPr>
      </w:pPr>
      <w:r>
        <w:rPr>
          <w:spacing w:val="-4"/>
        </w:rPr>
        <w:t>5.2.4 供应商应严格遵守国家有关的法律、法规及行业标准，负责员工的一切</w:t>
      </w:r>
      <w:r>
        <w:rPr>
          <w:spacing w:val="-5"/>
        </w:rPr>
        <w:t>工资、</w:t>
      </w:r>
      <w:r>
        <w:rPr>
          <w:spacing w:val="1"/>
        </w:rPr>
        <w:t>福利、保险等费用，所有服务员工上岗前必须签订劳动合同；员</w:t>
      </w:r>
      <w:r>
        <w:t xml:space="preserve">工因社保、工资、福利等问题产生的纠纷和发生职业暴露、工伤、疾病甚至死亡的一切责任及费用由 </w:t>
      </w:r>
      <w:r>
        <w:rPr>
          <w:spacing w:val="-2"/>
        </w:rPr>
        <w:t>供应商全部</w:t>
      </w:r>
      <w:r>
        <w:rPr>
          <w:rFonts w:hint="eastAsia"/>
          <w:spacing w:val="-2"/>
          <w:lang w:val="en-US" w:eastAsia="zh-CN"/>
        </w:rPr>
        <w:t>负</w:t>
      </w:r>
      <w:r>
        <w:rPr>
          <w:spacing w:val="-2"/>
        </w:rPr>
        <w:t>责。</w:t>
      </w:r>
    </w:p>
    <w:p w14:paraId="23DFC399">
      <w:pPr>
        <w:pStyle w:val="13"/>
        <w:keepNext w:val="0"/>
        <w:keepLines w:val="0"/>
        <w:pageBreakBefore w:val="0"/>
        <w:widowControl w:val="0"/>
        <w:kinsoku/>
        <w:wordWrap/>
        <w:overflowPunct/>
        <w:topLinePunct w:val="0"/>
        <w:autoSpaceDE/>
        <w:autoSpaceDN/>
        <w:bidi w:val="0"/>
        <w:adjustRightInd/>
        <w:snapToGrid w:val="0"/>
        <w:spacing w:line="360" w:lineRule="auto"/>
        <w:ind w:left="0" w:firstLine="472" w:firstLineChars="200"/>
        <w:jc w:val="left"/>
        <w:textAlignment w:val="auto"/>
        <w:rPr>
          <w:spacing w:val="-3"/>
        </w:rPr>
      </w:pPr>
      <w:r>
        <w:rPr>
          <w:spacing w:val="-2"/>
        </w:rPr>
        <w:t>5.3 人员配置：含项目负责人 1</w:t>
      </w:r>
      <w:r>
        <w:rPr>
          <w:spacing w:val="11"/>
        </w:rPr>
        <w:t xml:space="preserve"> </w:t>
      </w:r>
      <w:r>
        <w:rPr>
          <w:spacing w:val="-2"/>
        </w:rPr>
        <w:t>人、养护工</w:t>
      </w:r>
      <w:r>
        <w:rPr>
          <w:spacing w:val="-3"/>
        </w:rPr>
        <w:t>等至少</w:t>
      </w:r>
      <w:r>
        <w:rPr>
          <w:spacing w:val="-33"/>
        </w:rPr>
        <w:t xml:space="preserve"> </w:t>
      </w:r>
      <w:r>
        <w:rPr>
          <w:spacing w:val="-3"/>
        </w:rPr>
        <w:t>12</w:t>
      </w:r>
      <w:r>
        <w:rPr>
          <w:spacing w:val="11"/>
        </w:rPr>
        <w:t xml:space="preserve"> </w:t>
      </w:r>
      <w:r>
        <w:rPr>
          <w:spacing w:val="-3"/>
        </w:rPr>
        <w:t>人。</w:t>
      </w:r>
    </w:p>
    <w:p w14:paraId="064243B2">
      <w:pPr>
        <w:pStyle w:val="13"/>
        <w:keepNext w:val="0"/>
        <w:keepLines w:val="0"/>
        <w:pageBreakBefore w:val="0"/>
        <w:widowControl w:val="0"/>
        <w:kinsoku/>
        <w:wordWrap/>
        <w:overflowPunct/>
        <w:topLinePunct w:val="0"/>
        <w:autoSpaceDE/>
        <w:autoSpaceDN/>
        <w:bidi w:val="0"/>
        <w:adjustRightInd/>
        <w:snapToGrid w:val="0"/>
        <w:spacing w:line="360" w:lineRule="auto"/>
        <w:ind w:left="0" w:firstLine="472" w:firstLineChars="200"/>
        <w:jc w:val="left"/>
        <w:textAlignment w:val="auto"/>
        <w:rPr>
          <w:spacing w:val="-1"/>
        </w:rPr>
      </w:pPr>
      <w:r>
        <w:rPr>
          <w:spacing w:val="-2"/>
        </w:rPr>
        <w:t>5.3.1</w:t>
      </w:r>
      <w:r>
        <w:rPr>
          <w:spacing w:val="-40"/>
        </w:rPr>
        <w:t xml:space="preserve"> </w:t>
      </w:r>
      <w:r>
        <w:rPr>
          <w:spacing w:val="-2"/>
        </w:rPr>
        <w:t>养护作业人员男女不限。女性：年龄 55 周岁以下；男性：65 周岁以下。所</w:t>
      </w:r>
      <w:r>
        <w:rPr>
          <w:spacing w:val="-1"/>
        </w:rPr>
        <w:t>有人员身体健康，具有一定的绿化养护经验，工作效率高。</w:t>
      </w:r>
    </w:p>
    <w:p w14:paraId="384B27D8">
      <w:pPr>
        <w:pStyle w:val="13"/>
        <w:keepNext w:val="0"/>
        <w:keepLines w:val="0"/>
        <w:pageBreakBefore w:val="0"/>
        <w:widowControl w:val="0"/>
        <w:kinsoku/>
        <w:wordWrap/>
        <w:overflowPunct/>
        <w:topLinePunct w:val="0"/>
        <w:autoSpaceDE/>
        <w:autoSpaceDN/>
        <w:bidi w:val="0"/>
        <w:adjustRightInd/>
        <w:snapToGrid w:val="0"/>
        <w:spacing w:line="360" w:lineRule="auto"/>
        <w:ind w:left="0" w:firstLine="484" w:firstLineChars="200"/>
        <w:jc w:val="left"/>
        <w:textAlignment w:val="auto"/>
        <w:rPr>
          <w:rFonts w:hint="eastAsia" w:eastAsia="宋体"/>
          <w:spacing w:val="-4"/>
          <w:lang w:eastAsia="zh-CN"/>
        </w:rPr>
      </w:pPr>
      <w:r>
        <w:rPr>
          <w:spacing w:val="1"/>
        </w:rPr>
        <w:t>5.3.2</w:t>
      </w:r>
      <w:r>
        <w:rPr>
          <w:spacing w:val="-42"/>
        </w:rPr>
        <w:t xml:space="preserve"> </w:t>
      </w:r>
      <w:r>
        <w:rPr>
          <w:spacing w:val="1"/>
        </w:rPr>
        <w:t>养护作业人员应统一着装上岗，制服应有反光标志，颜色应以黄、红等视觉</w:t>
      </w:r>
      <w:r>
        <w:t xml:space="preserve"> </w:t>
      </w:r>
      <w:r>
        <w:rPr>
          <w:spacing w:val="-3"/>
        </w:rPr>
        <w:t>明显的色调为宜。背后应印有“XXX 绿化养护+单位名称（全、简称均可）”</w:t>
      </w:r>
      <w:r>
        <w:rPr>
          <w:spacing w:val="-4"/>
        </w:rPr>
        <w:t>的醒目字样</w:t>
      </w:r>
      <w:r>
        <w:rPr>
          <w:rFonts w:hint="eastAsia"/>
          <w:spacing w:val="-4"/>
          <w:lang w:eastAsia="zh-CN"/>
        </w:rPr>
        <w:t>。</w:t>
      </w:r>
    </w:p>
    <w:p w14:paraId="74591D66">
      <w:pPr>
        <w:pStyle w:val="13"/>
        <w:keepNext w:val="0"/>
        <w:keepLines w:val="0"/>
        <w:pageBreakBefore w:val="0"/>
        <w:widowControl w:val="0"/>
        <w:kinsoku/>
        <w:wordWrap/>
        <w:overflowPunct/>
        <w:topLinePunct w:val="0"/>
        <w:autoSpaceDE/>
        <w:autoSpaceDN/>
        <w:bidi w:val="0"/>
        <w:adjustRightInd/>
        <w:snapToGrid w:val="0"/>
        <w:spacing w:line="360" w:lineRule="auto"/>
        <w:ind w:left="0" w:firstLine="484" w:firstLineChars="200"/>
        <w:jc w:val="left"/>
        <w:textAlignment w:val="auto"/>
        <w:rPr>
          <w:spacing w:val="-6"/>
        </w:rPr>
      </w:pPr>
      <w:r>
        <w:rPr>
          <w:spacing w:val="1"/>
        </w:rPr>
        <w:t>5.3.3</w:t>
      </w:r>
      <w:r>
        <w:rPr>
          <w:spacing w:val="-42"/>
        </w:rPr>
        <w:t xml:space="preserve"> </w:t>
      </w:r>
      <w:r>
        <w:rPr>
          <w:spacing w:val="1"/>
        </w:rPr>
        <w:t>确保安全、文明施工原则。养护作业应注意自身和第三方的施工操作人员和</w:t>
      </w:r>
      <w:r>
        <w:rPr>
          <w:spacing w:val="-4"/>
        </w:rPr>
        <w:t>行人的安全，注意不损害周边市政设施和建筑物，不影响</w:t>
      </w:r>
      <w:r>
        <w:rPr>
          <w:spacing w:val="-5"/>
        </w:rPr>
        <w:t>市容环境。做好各项围护、</w:t>
      </w:r>
      <w:r>
        <w:rPr>
          <w:spacing w:val="-3"/>
        </w:rPr>
        <w:t>防护措施，</w:t>
      </w:r>
      <w:r>
        <w:rPr>
          <w:spacing w:val="-12"/>
        </w:rPr>
        <w:t xml:space="preserve"> </w:t>
      </w:r>
      <w:r>
        <w:rPr>
          <w:spacing w:val="-3"/>
        </w:rPr>
        <w:t>配合采购人的管理。养护工作中确保零安全事故，如有由中标人自行承</w:t>
      </w:r>
      <w:r>
        <w:rPr>
          <w:spacing w:val="-6"/>
        </w:rPr>
        <w:t>担。</w:t>
      </w:r>
    </w:p>
    <w:p w14:paraId="1A9E2F7F">
      <w:pPr>
        <w:pStyle w:val="13"/>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jc w:val="left"/>
        <w:textAlignment w:val="auto"/>
        <w:rPr>
          <w:spacing w:val="-2"/>
        </w:rPr>
      </w:pPr>
      <w:r>
        <w:t>5.3.4.参加养护的投标人，应具备应急抢险机制与能力，能在出险半小时</w:t>
      </w:r>
      <w:r>
        <w:rPr>
          <w:spacing w:val="-1"/>
        </w:rPr>
        <w:t>内到达现</w:t>
      </w:r>
      <w:r>
        <w:t xml:space="preserve"> </w:t>
      </w:r>
      <w:r>
        <w:rPr>
          <w:spacing w:val="-2"/>
        </w:rPr>
        <w:t>场组织抢险。</w:t>
      </w:r>
    </w:p>
    <w:p w14:paraId="5D492C85">
      <w:pPr>
        <w:pStyle w:val="13"/>
        <w:keepNext w:val="0"/>
        <w:keepLines w:val="0"/>
        <w:pageBreakBefore w:val="0"/>
        <w:widowControl w:val="0"/>
        <w:kinsoku/>
        <w:wordWrap/>
        <w:overflowPunct/>
        <w:topLinePunct w:val="0"/>
        <w:autoSpaceDE/>
        <w:autoSpaceDN/>
        <w:bidi w:val="0"/>
        <w:adjustRightInd/>
        <w:snapToGrid w:val="0"/>
        <w:spacing w:line="360" w:lineRule="auto"/>
        <w:ind w:left="0" w:firstLine="484" w:firstLineChars="200"/>
        <w:jc w:val="left"/>
        <w:textAlignment w:val="auto"/>
        <w:rPr>
          <w:spacing w:val="-5"/>
        </w:rPr>
      </w:pPr>
      <w:r>
        <w:rPr>
          <w:spacing w:val="1"/>
        </w:rPr>
        <w:t>5.3.5</w:t>
      </w:r>
      <w:r>
        <w:rPr>
          <w:spacing w:val="-42"/>
        </w:rPr>
        <w:t xml:space="preserve"> </w:t>
      </w:r>
      <w:r>
        <w:rPr>
          <w:spacing w:val="1"/>
        </w:rPr>
        <w:t>在中标人实施项目期间，采购人将针对中标人配置的人员进行核查，如出现</w:t>
      </w:r>
      <w:r>
        <w:t xml:space="preserve"> 缺员现象将进行惩罚，且招标人有权立即解除合同，解除合同的通知自发出之日起</w:t>
      </w:r>
      <w:r>
        <w:rPr>
          <w:spacing w:val="-4"/>
        </w:rPr>
        <w:t>生效。造成损失由中标人自行负责，如造成招标人损失将追究</w:t>
      </w:r>
      <w:r>
        <w:rPr>
          <w:spacing w:val="-5"/>
        </w:rPr>
        <w:t>中标人相关法律责任。</w:t>
      </w:r>
    </w:p>
    <w:p w14:paraId="04182A0B">
      <w:pPr>
        <w:pStyle w:val="13"/>
        <w:keepNext w:val="0"/>
        <w:keepLines w:val="0"/>
        <w:pageBreakBefore w:val="0"/>
        <w:widowControl w:val="0"/>
        <w:kinsoku/>
        <w:wordWrap/>
        <w:overflowPunct/>
        <w:topLinePunct w:val="0"/>
        <w:autoSpaceDE/>
        <w:autoSpaceDN/>
        <w:bidi w:val="0"/>
        <w:adjustRightInd/>
        <w:snapToGrid w:val="0"/>
        <w:spacing w:line="360" w:lineRule="auto"/>
        <w:ind w:left="0" w:firstLine="476" w:firstLineChars="200"/>
        <w:jc w:val="left"/>
        <w:textAlignment w:val="auto"/>
        <w:rPr>
          <w:spacing w:val="-5"/>
        </w:rPr>
      </w:pPr>
      <w:r>
        <w:rPr>
          <w:spacing w:val="-1"/>
        </w:rPr>
        <w:t>5.4</w:t>
      </w:r>
      <w:r>
        <w:rPr>
          <w:spacing w:val="-39"/>
        </w:rPr>
        <w:t xml:space="preserve"> </w:t>
      </w:r>
      <w:r>
        <w:rPr>
          <w:spacing w:val="-1"/>
        </w:rPr>
        <w:t>移交时以现场清点数据为移交依据，中标人须配合采购人确定最终移交清单数</w:t>
      </w:r>
      <w:r>
        <w:t xml:space="preserve"> </w:t>
      </w:r>
      <w:r>
        <w:rPr>
          <w:spacing w:val="-5"/>
        </w:rPr>
        <w:t>据。</w:t>
      </w:r>
    </w:p>
    <w:p w14:paraId="6FBFA951">
      <w:pPr>
        <w:pStyle w:val="13"/>
        <w:keepNext w:val="0"/>
        <w:keepLines w:val="0"/>
        <w:pageBreakBefore w:val="0"/>
        <w:widowControl w:val="0"/>
        <w:kinsoku/>
        <w:wordWrap/>
        <w:overflowPunct/>
        <w:topLinePunct w:val="0"/>
        <w:autoSpaceDE/>
        <w:autoSpaceDN/>
        <w:bidi w:val="0"/>
        <w:adjustRightInd/>
        <w:snapToGrid w:val="0"/>
        <w:spacing w:line="360" w:lineRule="auto"/>
        <w:ind w:left="0" w:firstLine="464" w:firstLineChars="200"/>
        <w:jc w:val="left"/>
        <w:textAlignment w:val="auto"/>
        <w:rPr>
          <w:spacing w:val="-4"/>
        </w:rPr>
      </w:pPr>
      <w:r>
        <w:rPr>
          <w:spacing w:val="-4"/>
        </w:rPr>
        <w:t>5.5</w:t>
      </w:r>
      <w:r>
        <w:rPr>
          <w:spacing w:val="-48"/>
        </w:rPr>
        <w:t xml:space="preserve"> </w:t>
      </w:r>
      <w:r>
        <w:rPr>
          <w:spacing w:val="-4"/>
        </w:rPr>
        <w:t>移交要求</w:t>
      </w:r>
    </w:p>
    <w:p w14:paraId="36DC24FA">
      <w:pPr>
        <w:pStyle w:val="13"/>
        <w:keepNext w:val="0"/>
        <w:keepLines w:val="0"/>
        <w:pageBreakBefore w:val="0"/>
        <w:widowControl w:val="0"/>
        <w:kinsoku/>
        <w:wordWrap/>
        <w:overflowPunct/>
        <w:topLinePunct w:val="0"/>
        <w:autoSpaceDE/>
        <w:autoSpaceDN/>
        <w:bidi w:val="0"/>
        <w:adjustRightInd/>
        <w:snapToGrid w:val="0"/>
        <w:spacing w:before="23" w:line="360" w:lineRule="auto"/>
        <w:ind w:left="494"/>
        <w:textAlignment w:val="auto"/>
        <w:rPr>
          <w:spacing w:val="-2"/>
        </w:rPr>
      </w:pPr>
      <w:r>
        <w:rPr>
          <w:spacing w:val="-2"/>
        </w:rPr>
        <w:t>（1）交接时间：以采购人指令为准。</w:t>
      </w:r>
    </w:p>
    <w:p w14:paraId="155B12F8">
      <w:pPr>
        <w:pStyle w:val="13"/>
        <w:keepNext w:val="0"/>
        <w:keepLines w:val="0"/>
        <w:pageBreakBefore w:val="0"/>
        <w:widowControl w:val="0"/>
        <w:kinsoku/>
        <w:wordWrap/>
        <w:overflowPunct/>
        <w:topLinePunct w:val="0"/>
        <w:autoSpaceDE/>
        <w:autoSpaceDN/>
        <w:bidi w:val="0"/>
        <w:adjustRightInd/>
        <w:snapToGrid w:val="0"/>
        <w:spacing w:before="23" w:line="360" w:lineRule="auto"/>
        <w:ind w:left="494"/>
        <w:textAlignment w:val="auto"/>
        <w:rPr>
          <w:spacing w:val="-3"/>
        </w:rPr>
      </w:pPr>
      <w:r>
        <w:rPr>
          <w:spacing w:val="-4"/>
        </w:rPr>
        <w:t>（2）移交时以交接单为移交依据，由采购人、原履约单位、现履约单位签字认可后</w:t>
      </w:r>
      <w:r>
        <w:rPr>
          <w:spacing w:val="18"/>
        </w:rPr>
        <w:t xml:space="preserve"> </w:t>
      </w:r>
      <w:r>
        <w:rPr>
          <w:spacing w:val="-3"/>
        </w:rPr>
        <w:t>为正式移交。</w:t>
      </w:r>
    </w:p>
    <w:p w14:paraId="7149BC30">
      <w:pPr>
        <w:pStyle w:val="13"/>
        <w:keepNext w:val="0"/>
        <w:keepLines w:val="0"/>
        <w:pageBreakBefore w:val="0"/>
        <w:widowControl w:val="0"/>
        <w:kinsoku/>
        <w:wordWrap/>
        <w:overflowPunct/>
        <w:topLinePunct w:val="0"/>
        <w:autoSpaceDE/>
        <w:autoSpaceDN/>
        <w:bidi w:val="0"/>
        <w:adjustRightInd/>
        <w:snapToGrid w:val="0"/>
        <w:spacing w:before="23" w:line="360" w:lineRule="auto"/>
        <w:ind w:left="494"/>
        <w:textAlignment w:val="auto"/>
        <w:rPr>
          <w:spacing w:val="-5"/>
        </w:rPr>
      </w:pPr>
      <w:r>
        <w:rPr>
          <w:spacing w:val="-5"/>
        </w:rPr>
        <w:t>5.6</w:t>
      </w:r>
      <w:r>
        <w:rPr>
          <w:spacing w:val="-51"/>
        </w:rPr>
        <w:t xml:space="preserve"> </w:t>
      </w:r>
      <w:r>
        <w:rPr>
          <w:spacing w:val="-5"/>
        </w:rPr>
        <w:t>验收</w:t>
      </w:r>
    </w:p>
    <w:p w14:paraId="322B11AE">
      <w:pPr>
        <w:pStyle w:val="13"/>
        <w:keepNext w:val="0"/>
        <w:keepLines w:val="0"/>
        <w:pageBreakBefore w:val="0"/>
        <w:widowControl w:val="0"/>
        <w:kinsoku/>
        <w:wordWrap/>
        <w:overflowPunct/>
        <w:topLinePunct w:val="0"/>
        <w:autoSpaceDE/>
        <w:autoSpaceDN/>
        <w:bidi w:val="0"/>
        <w:adjustRightInd/>
        <w:snapToGrid w:val="0"/>
        <w:spacing w:line="360" w:lineRule="auto"/>
        <w:ind w:left="0" w:firstLine="480" w:firstLineChars="200"/>
        <w:textAlignment w:val="auto"/>
        <w:rPr>
          <w:rFonts w:cs="宋体"/>
          <w:b/>
          <w:bCs/>
          <w:sz w:val="24"/>
          <w:szCs w:val="21"/>
          <w:highlight w:val="yellow"/>
        </w:rPr>
      </w:pPr>
      <w:r>
        <w:t>履约期间将依照招标文件要求、中标单位投标文件内的承诺及采购人制定的</w:t>
      </w:r>
      <w:r>
        <w:rPr>
          <w:spacing w:val="-1"/>
        </w:rPr>
        <w:t>相关办法、细则等，对该采购项目对应采购包的内容进行考核或验收。</w:t>
      </w:r>
    </w:p>
    <w:p w14:paraId="133E8B11">
      <w:pPr>
        <w:keepNext w:val="0"/>
        <w:keepLines w:val="0"/>
        <w:pageBreakBefore w:val="0"/>
        <w:widowControl w:val="0"/>
        <w:kinsoku/>
        <w:wordWrap/>
        <w:overflowPunct/>
        <w:topLinePunct w:val="0"/>
        <w:autoSpaceDE/>
        <w:autoSpaceDN/>
        <w:bidi w:val="0"/>
        <w:adjustRightInd/>
        <w:snapToGrid w:val="0"/>
        <w:spacing w:line="360" w:lineRule="auto"/>
        <w:ind w:left="0" w:firstLine="480"/>
        <w:contextualSpacing/>
        <w:textAlignment w:val="auto"/>
        <w:rPr>
          <w:sz w:val="24"/>
        </w:rPr>
      </w:pPr>
      <w:r>
        <w:rPr>
          <w:rFonts w:hint="eastAsia"/>
          <w:sz w:val="24"/>
        </w:rPr>
        <w:t>6</w:t>
      </w:r>
      <w:r>
        <w:rPr>
          <w:sz w:val="24"/>
        </w:rPr>
        <w:t>. 其他要求</w:t>
      </w:r>
    </w:p>
    <w:p w14:paraId="1819A526">
      <w:pPr>
        <w:pStyle w:val="278"/>
        <w:keepNext w:val="0"/>
        <w:keepLines w:val="0"/>
        <w:pageBreakBefore w:val="0"/>
        <w:widowControl w:val="0"/>
        <w:kinsoku/>
        <w:wordWrap/>
        <w:overflowPunct/>
        <w:topLinePunct w:val="0"/>
        <w:autoSpaceDE/>
        <w:autoSpaceDN/>
        <w:bidi w:val="0"/>
        <w:adjustRightInd/>
        <w:snapToGrid w:val="0"/>
        <w:spacing w:line="360" w:lineRule="auto"/>
        <w:ind w:left="0" w:firstLine="480"/>
        <w:contextualSpacing/>
        <w:jc w:val="left"/>
        <w:textAlignment w:val="auto"/>
        <w:rPr>
          <w:rFonts w:ascii="Times New Roman" w:hAnsi="Times New Roman"/>
          <w:sz w:val="24"/>
          <w:szCs w:val="24"/>
        </w:rPr>
      </w:pPr>
      <w:r>
        <w:rPr>
          <w:rFonts w:hint="eastAsia" w:ascii="Times New Roman" w:hAnsi="Times New Roman"/>
          <w:sz w:val="24"/>
          <w:szCs w:val="24"/>
        </w:rPr>
        <w:t>按照《政府采购促进中小企业发展管理办法》（财库</w:t>
      </w:r>
      <w:r>
        <w:rPr>
          <w:rFonts w:ascii="Times New Roman" w:hAnsi="Times New Roman"/>
          <w:sz w:val="24"/>
          <w:szCs w:val="24"/>
        </w:rPr>
        <w:t>〔20</w:t>
      </w:r>
      <w:r>
        <w:rPr>
          <w:rFonts w:hint="eastAsia" w:ascii="Times New Roman" w:hAnsi="Times New Roman"/>
          <w:sz w:val="24"/>
          <w:szCs w:val="24"/>
        </w:rPr>
        <w:t>20</w:t>
      </w:r>
      <w:r>
        <w:rPr>
          <w:rFonts w:ascii="Times New Roman" w:hAnsi="Times New Roman"/>
          <w:sz w:val="24"/>
          <w:szCs w:val="24"/>
        </w:rPr>
        <w:t>〕</w:t>
      </w:r>
      <w:r>
        <w:rPr>
          <w:rFonts w:hint="eastAsia" w:ascii="Times New Roman" w:hAnsi="Times New Roman"/>
          <w:sz w:val="24"/>
          <w:szCs w:val="24"/>
        </w:rPr>
        <w:t>46</w:t>
      </w:r>
      <w:r>
        <w:rPr>
          <w:rFonts w:ascii="Times New Roman" w:hAnsi="Times New Roman"/>
          <w:sz w:val="24"/>
          <w:szCs w:val="24"/>
        </w:rPr>
        <w:t>号</w:t>
      </w:r>
      <w:r>
        <w:rPr>
          <w:rFonts w:hint="eastAsia" w:ascii="Times New Roman" w:hAnsi="Times New Roman"/>
          <w:sz w:val="24"/>
          <w:szCs w:val="24"/>
        </w:rPr>
        <w:t>）的相关要求，采购人应当面向中小企业预留采购份额，本项目面向中小企业预留份额</w:t>
      </w:r>
      <w:r>
        <w:rPr>
          <w:rFonts w:hint="eastAsia" w:ascii="Times New Roman" w:hAnsi="Times New Roman"/>
          <w:sz w:val="24"/>
          <w:szCs w:val="24"/>
          <w:u w:val="single"/>
        </w:rPr>
        <w:t xml:space="preserve"> 100 </w:t>
      </w:r>
      <w:r>
        <w:rPr>
          <w:rFonts w:hint="eastAsia" w:ascii="Times New Roman" w:hAnsi="Times New Roman"/>
          <w:sz w:val="24"/>
          <w:szCs w:val="24"/>
        </w:rPr>
        <w:t>%。</w:t>
      </w:r>
    </w:p>
    <w:p w14:paraId="27555A89">
      <w:pPr>
        <w:keepNext w:val="0"/>
        <w:keepLines w:val="0"/>
        <w:pageBreakBefore w:val="0"/>
        <w:widowControl w:val="0"/>
        <w:spacing w:line="360" w:lineRule="auto"/>
        <w:ind w:right="0" w:firstLine="480"/>
        <w:jc w:val="both"/>
        <w:rPr>
          <w:rFonts w:hint="eastAsia" w:ascii="Times New Roman" w:hAnsi="Times New Roman" w:eastAsia="宋体" w:cs="宋体"/>
          <w:sz w:val="24"/>
          <w:szCs w:val="21"/>
          <w:lang w:val="en-US" w:eastAsia="zh-CN"/>
        </w:rPr>
      </w:pPr>
    </w:p>
    <w:p w14:paraId="70C8AA3A">
      <w:pPr>
        <w:pStyle w:val="204"/>
        <w:numPr>
          <w:ilvl w:val="0"/>
          <w:numId w:val="0"/>
        </w:numPr>
        <w:rPr>
          <w:rFonts w:hint="eastAsia"/>
          <w:lang w:val="en-US" w:eastAsia="zh-CN"/>
        </w:rPr>
      </w:pPr>
    </w:p>
    <w:p w14:paraId="24EAEA10">
      <w:pPr>
        <w:widowControl/>
        <w:spacing w:line="360" w:lineRule="auto"/>
        <w:ind w:firstLine="480"/>
        <w:contextualSpacing/>
        <w:rPr>
          <w:sz w:val="24"/>
        </w:rPr>
      </w:pPr>
    </w:p>
    <w:p w14:paraId="0C0BF11E">
      <w:pPr>
        <w:pStyle w:val="278"/>
        <w:spacing w:line="360" w:lineRule="auto"/>
        <w:ind w:firstLine="424"/>
        <w:contextualSpacing/>
        <w:jc w:val="left"/>
        <w:rPr>
          <w:rFonts w:ascii="Times New Roman" w:hAnsi="Times New Roman"/>
          <w:sz w:val="24"/>
          <w:szCs w:val="24"/>
        </w:rPr>
      </w:pPr>
    </w:p>
    <w:p w14:paraId="0D4A725F">
      <w:pPr>
        <w:pStyle w:val="278"/>
        <w:spacing w:line="360" w:lineRule="auto"/>
        <w:ind w:firstLine="480"/>
        <w:contextualSpacing/>
        <w:jc w:val="left"/>
        <w:rPr>
          <w:rFonts w:ascii="Times New Roman" w:hAnsi="Times New Roman"/>
          <w:sz w:val="24"/>
          <w:szCs w:val="24"/>
        </w:rPr>
      </w:pPr>
    </w:p>
    <w:p w14:paraId="4E9065FD">
      <w:pPr>
        <w:numPr>
          <w:ilvl w:val="0"/>
          <w:numId w:val="14"/>
        </w:numPr>
        <w:spacing w:line="360" w:lineRule="auto"/>
        <w:jc w:val="center"/>
        <w:outlineLvl w:val="0"/>
        <w:rPr>
          <w:b/>
          <w:sz w:val="36"/>
          <w:szCs w:val="36"/>
        </w:rPr>
      </w:pPr>
      <w:bookmarkStart w:id="640" w:name="_Toc104818929"/>
      <w:r>
        <w:rPr>
          <w:b/>
          <w:sz w:val="36"/>
          <w:szCs w:val="36"/>
        </w:rPr>
        <w:t xml:space="preserve">  合同草案条款</w:t>
      </w:r>
      <w:bookmarkEnd w:id="640"/>
    </w:p>
    <w:p w14:paraId="74DFC3AF">
      <w:pPr>
        <w:spacing w:line="385" w:lineRule="auto"/>
        <w:rPr>
          <w:rFonts w:ascii="Arial"/>
          <w:sz w:val="21"/>
        </w:rPr>
      </w:pPr>
    </w:p>
    <w:p w14:paraId="640970DE">
      <w:pPr>
        <w:pStyle w:val="13"/>
        <w:spacing w:before="78" w:line="417" w:lineRule="auto"/>
        <w:ind w:left="29" w:right="6980" w:firstLine="11"/>
      </w:pPr>
      <w:r>
        <w:rPr>
          <w:spacing w:val="-6"/>
        </w:rPr>
        <w:t>甲方（委托单位</w:t>
      </w:r>
      <w:r>
        <w:rPr>
          <w:spacing w:val="-30"/>
        </w:rPr>
        <w:t>）：</w:t>
      </w:r>
      <w:r>
        <w:t xml:space="preserve"> </w:t>
      </w:r>
      <w:r>
        <w:rPr>
          <w:spacing w:val="-5"/>
        </w:rPr>
        <w:t>乙方（养护单位</w:t>
      </w:r>
      <w:r>
        <w:rPr>
          <w:spacing w:val="-28"/>
        </w:rPr>
        <w:t>）：</w:t>
      </w:r>
    </w:p>
    <w:p w14:paraId="4C6E2AB7">
      <w:pPr>
        <w:pStyle w:val="13"/>
        <w:spacing w:before="36" w:line="422" w:lineRule="auto"/>
        <w:ind w:left="15" w:right="8" w:firstLine="476"/>
      </w:pPr>
      <w:r>
        <w:rPr>
          <w:spacing w:val="-2"/>
        </w:rPr>
        <w:t>按照《中华人民共和国民法典》及绿化养护有关规定，遵循平等、自愿、公平和诚</w:t>
      </w:r>
      <w:r>
        <w:rPr>
          <w:spacing w:val="11"/>
        </w:rPr>
        <w:t xml:space="preserve"> </w:t>
      </w:r>
      <w:r>
        <w:rPr>
          <w:spacing w:val="-2"/>
        </w:rPr>
        <w:t>实信用的原则，甲乙双方就</w:t>
      </w:r>
      <w:r>
        <w:rPr>
          <w:rFonts w:hint="eastAsia"/>
          <w:spacing w:val="-2"/>
          <w:u w:val="single"/>
          <w:lang w:eastAsia="zh-CN"/>
        </w:rPr>
        <w:t>埭头镇2025年-2026年、2026年-2027年考评区域内绿化养护项目</w:t>
      </w:r>
      <w:r>
        <w:rPr>
          <w:spacing w:val="-2"/>
        </w:rPr>
        <w:t>发承包事项协商一致，制</w:t>
      </w:r>
      <w:r>
        <w:rPr>
          <w:spacing w:val="11"/>
        </w:rPr>
        <w:t xml:space="preserve"> </w:t>
      </w:r>
      <w:r>
        <w:rPr>
          <w:spacing w:val="-3"/>
        </w:rPr>
        <w:t>定如下协议：</w:t>
      </w:r>
    </w:p>
    <w:p w14:paraId="08268757">
      <w:pPr>
        <w:pStyle w:val="13"/>
        <w:spacing w:before="32" w:line="220" w:lineRule="auto"/>
        <w:ind w:left="573"/>
      </w:pPr>
      <w:r>
        <w:rPr>
          <w:spacing w:val="-3"/>
        </w:rPr>
        <w:t>一、绿化养护范围及内容：</w:t>
      </w:r>
    </w:p>
    <w:p w14:paraId="37B0BDE2">
      <w:pPr>
        <w:pStyle w:val="13"/>
        <w:spacing w:before="274" w:line="417" w:lineRule="auto"/>
        <w:ind w:left="29" w:right="50" w:firstLine="461"/>
      </w:pPr>
      <w:r>
        <w:t>养护范围及养护总面积：</w:t>
      </w:r>
      <w:r>
        <w:rPr>
          <w:u w:val="single" w:color="auto"/>
        </w:rPr>
        <w:t xml:space="preserve">           </w:t>
      </w:r>
      <w:r>
        <w:rPr>
          <w:spacing w:val="-102"/>
        </w:rPr>
        <w:t xml:space="preserve"> </w:t>
      </w:r>
      <w:r>
        <w:t xml:space="preserve">平方米。养护内容包括道路两侧绿化材料、 </w:t>
      </w:r>
      <w:r>
        <w:rPr>
          <w:spacing w:val="-1"/>
        </w:rPr>
        <w:t>园林设施、硬质铺装管护，道路绿化带及公园绿地卫生保</w:t>
      </w:r>
      <w:r>
        <w:rPr>
          <w:spacing w:val="-2"/>
        </w:rPr>
        <w:t>洁等。</w:t>
      </w:r>
    </w:p>
    <w:p w14:paraId="1824291B">
      <w:pPr>
        <w:pStyle w:val="13"/>
        <w:spacing w:before="35" w:line="220" w:lineRule="auto"/>
        <w:ind w:left="573"/>
      </w:pPr>
      <w:r>
        <w:rPr>
          <w:spacing w:val="-3"/>
        </w:rPr>
        <w:t>二、绿化养护期限：</w:t>
      </w:r>
    </w:p>
    <w:p w14:paraId="5B7C009E">
      <w:pPr>
        <w:pStyle w:val="13"/>
        <w:spacing w:before="274" w:line="417" w:lineRule="auto"/>
        <w:ind w:left="29" w:right="50" w:firstLine="461"/>
      </w:pPr>
      <w:r>
        <w:t>本项目</w:t>
      </w:r>
      <w:r>
        <w:rPr>
          <w:rFonts w:hint="eastAsia"/>
          <w:lang w:val="en-US" w:eastAsia="zh-CN"/>
        </w:rPr>
        <w:t>养护期2年，</w:t>
      </w:r>
      <w:r>
        <w:t>自</w:t>
      </w:r>
      <w:r>
        <w:rPr>
          <w:u w:val="single"/>
        </w:rPr>
        <w:t xml:space="preserve">      </w:t>
      </w:r>
      <w:r>
        <w:rPr>
          <w:u w:val="none"/>
        </w:rPr>
        <w:t>年</w:t>
      </w:r>
      <w:r>
        <w:rPr>
          <w:u w:val="single"/>
        </w:rPr>
        <w:t xml:space="preserve">     </w:t>
      </w:r>
      <w:r>
        <w:rPr>
          <w:u w:val="none"/>
        </w:rPr>
        <w:t>月</w:t>
      </w:r>
      <w:r>
        <w:rPr>
          <w:u w:val="single"/>
        </w:rPr>
        <w:t xml:space="preserve">     </w:t>
      </w:r>
      <w:r>
        <w:rPr>
          <w:u w:val="none"/>
        </w:rPr>
        <w:t>日</w:t>
      </w:r>
      <w:r>
        <w:t>至</w:t>
      </w:r>
      <w:r>
        <w:rPr>
          <w:u w:val="single"/>
        </w:rPr>
        <w:t xml:space="preserve">     </w:t>
      </w:r>
      <w:r>
        <w:t>年</w:t>
      </w:r>
      <w:r>
        <w:rPr>
          <w:u w:val="single"/>
        </w:rPr>
        <w:t xml:space="preserve">     </w:t>
      </w:r>
      <w:r>
        <w:t>月</w:t>
      </w:r>
      <w:r>
        <w:rPr>
          <w:u w:val="single"/>
        </w:rPr>
        <w:t xml:space="preserve">     </w:t>
      </w:r>
      <w:r>
        <w:t>日止。</w:t>
      </w:r>
    </w:p>
    <w:p w14:paraId="52462EA3">
      <w:pPr>
        <w:pStyle w:val="13"/>
        <w:spacing w:before="274" w:line="219" w:lineRule="auto"/>
        <w:ind w:left="569"/>
      </w:pPr>
      <w:r>
        <w:rPr>
          <w:spacing w:val="-2"/>
        </w:rPr>
        <w:t>三、合同价款及调整：</w:t>
      </w:r>
    </w:p>
    <w:p w14:paraId="636DAA88">
      <w:pPr>
        <w:pStyle w:val="13"/>
        <w:spacing w:before="272" w:line="426" w:lineRule="auto"/>
        <w:ind w:left="8" w:firstLine="498"/>
        <w:jc w:val="both"/>
      </w:pPr>
      <w:r>
        <w:rPr>
          <w:spacing w:val="1"/>
        </w:rPr>
        <w:t>1、合同价款为包干费用，包含但不限于人工、养护、小型机具、材料、安全文明</w:t>
      </w:r>
      <w:r>
        <w:rPr>
          <w:spacing w:val="7"/>
        </w:rPr>
        <w:t xml:space="preserve"> </w:t>
      </w:r>
      <w:r>
        <w:rPr>
          <w:spacing w:val="-1"/>
        </w:rPr>
        <w:t>施工费、施工人员食宿交通和生活用水电、成品保护、赶工</w:t>
      </w:r>
      <w:r>
        <w:rPr>
          <w:spacing w:val="-2"/>
        </w:rPr>
        <w:t>、夜间施工、冬雨季施工、</w:t>
      </w:r>
      <w:r>
        <w:t xml:space="preserve"> </w:t>
      </w:r>
      <w:r>
        <w:rPr>
          <w:spacing w:val="-2"/>
        </w:rPr>
        <w:t>垃圾清理及消纳、风险处置、施工保护（工伤保险和第三者意外伤害险等）、管理、规</w:t>
      </w:r>
      <w:r>
        <w:rPr>
          <w:spacing w:val="18"/>
        </w:rPr>
        <w:t xml:space="preserve"> </w:t>
      </w:r>
      <w:r>
        <w:rPr>
          <w:spacing w:val="-2"/>
        </w:rPr>
        <w:t>费、税金、利润等一切费用。除非另有明确约定，甲方无需在合同价款之外，就签署和</w:t>
      </w:r>
      <w:r>
        <w:rPr>
          <w:spacing w:val="18"/>
        </w:rPr>
        <w:t xml:space="preserve"> </w:t>
      </w:r>
      <w:r>
        <w:rPr>
          <w:spacing w:val="-1"/>
        </w:rPr>
        <w:t>履行本合同向乙方或第三方支付其他费用。</w:t>
      </w:r>
    </w:p>
    <w:p w14:paraId="04949E36">
      <w:pPr>
        <w:pStyle w:val="13"/>
        <w:spacing w:before="34" w:line="219" w:lineRule="auto"/>
        <w:ind w:left="492"/>
        <w:rPr>
          <w:rFonts w:hint="eastAsia" w:eastAsia="宋体"/>
          <w:lang w:eastAsia="zh-CN"/>
        </w:rPr>
      </w:pPr>
      <w:r>
        <w:rPr>
          <w:spacing w:val="-1"/>
        </w:rPr>
        <w:t>2、本</w:t>
      </w:r>
      <w:r>
        <w:rPr>
          <w:rFonts w:hint="eastAsia"/>
          <w:spacing w:val="-1"/>
          <w:lang w:val="en-US" w:eastAsia="zh-CN"/>
        </w:rPr>
        <w:t>项目</w:t>
      </w:r>
      <w:r>
        <w:rPr>
          <w:spacing w:val="-1"/>
        </w:rPr>
        <w:t>合同价：</w:t>
      </w:r>
      <w:r>
        <w:rPr>
          <w:spacing w:val="-1"/>
          <w:u w:val="single" w:color="auto"/>
        </w:rPr>
        <w:t xml:space="preserve">        </w:t>
      </w:r>
      <w:r>
        <w:rPr>
          <w:spacing w:val="-108"/>
        </w:rPr>
        <w:t xml:space="preserve"> </w:t>
      </w:r>
      <w:r>
        <w:rPr>
          <w:spacing w:val="-1"/>
        </w:rPr>
        <w:t>元</w:t>
      </w:r>
      <w:r>
        <w:rPr>
          <w:rFonts w:hint="eastAsia"/>
          <w:spacing w:val="-1"/>
          <w:lang w:val="en-US" w:eastAsia="zh-CN"/>
        </w:rPr>
        <w:t>/年，</w:t>
      </w:r>
      <w:r>
        <w:rPr>
          <w:spacing w:val="-1"/>
        </w:rPr>
        <w:t>合计</w:t>
      </w:r>
      <w:r>
        <w:rPr>
          <w:spacing w:val="-1"/>
          <w:u w:val="single" w:color="auto"/>
        </w:rPr>
        <w:t xml:space="preserve">        </w:t>
      </w:r>
      <w:r>
        <w:rPr>
          <w:spacing w:val="-108"/>
        </w:rPr>
        <w:t xml:space="preserve"> </w:t>
      </w:r>
      <w:r>
        <w:rPr>
          <w:spacing w:val="-1"/>
        </w:rPr>
        <w:t>元</w:t>
      </w:r>
      <w:r>
        <w:rPr>
          <w:rFonts w:hint="eastAsia"/>
          <w:spacing w:val="-1"/>
          <w:lang w:eastAsia="zh-CN"/>
        </w:rPr>
        <w:t>。</w:t>
      </w:r>
    </w:p>
    <w:p w14:paraId="31C2FE4F">
      <w:pPr>
        <w:pStyle w:val="13"/>
        <w:spacing w:before="272" w:line="426" w:lineRule="auto"/>
        <w:ind w:left="8" w:firstLine="498"/>
        <w:jc w:val="both"/>
        <w:rPr>
          <w:spacing w:val="1"/>
        </w:rPr>
      </w:pPr>
      <w:r>
        <w:rPr>
          <w:spacing w:val="1"/>
        </w:rPr>
        <w:t>3、如实际养护作业过程中，新增养护内容（甲方认可），双方应及时协商签订书 面补充协议。</w:t>
      </w:r>
    </w:p>
    <w:p w14:paraId="727D8A3E">
      <w:pPr>
        <w:pStyle w:val="13"/>
        <w:spacing w:before="272" w:line="426" w:lineRule="auto"/>
        <w:ind w:left="8" w:firstLine="498"/>
        <w:jc w:val="both"/>
        <w:rPr>
          <w:spacing w:val="1"/>
        </w:rPr>
      </w:pPr>
      <w:r>
        <w:rPr>
          <w:spacing w:val="1"/>
        </w:rPr>
        <w:t>四、支付方式</w:t>
      </w:r>
    </w:p>
    <w:p w14:paraId="600DA35E">
      <w:pPr>
        <w:pStyle w:val="13"/>
        <w:spacing w:before="272" w:line="426" w:lineRule="auto"/>
        <w:ind w:left="8" w:firstLine="498"/>
        <w:jc w:val="both"/>
        <w:rPr>
          <w:color w:val="auto"/>
          <w:spacing w:val="1"/>
        </w:rPr>
      </w:pPr>
      <w:r>
        <w:rPr>
          <w:rFonts w:hint="eastAsia"/>
          <w:color w:val="auto"/>
          <w:spacing w:val="1"/>
        </w:rPr>
        <w:t>分解至每季度支付金额为</w:t>
      </w:r>
      <w:r>
        <w:rPr>
          <w:rFonts w:hint="eastAsia"/>
          <w:color w:val="auto"/>
          <w:spacing w:val="1"/>
          <w:u w:val="single"/>
          <w:lang w:val="en-US" w:eastAsia="zh-CN"/>
        </w:rPr>
        <w:t xml:space="preserve">      </w:t>
      </w:r>
      <w:r>
        <w:rPr>
          <w:rFonts w:hint="eastAsia"/>
          <w:color w:val="auto"/>
          <w:spacing w:val="1"/>
        </w:rPr>
        <w:t>元，甲方于次季度将上季度外包费用支付给</w:t>
      </w:r>
      <w:r>
        <w:rPr>
          <w:rFonts w:hint="eastAsia"/>
          <w:color w:val="auto"/>
          <w:spacing w:val="1"/>
          <w:lang w:val="en-US" w:eastAsia="zh-CN"/>
        </w:rPr>
        <w:t>乙</w:t>
      </w:r>
      <w:r>
        <w:rPr>
          <w:rFonts w:hint="eastAsia"/>
          <w:color w:val="auto"/>
          <w:spacing w:val="1"/>
        </w:rPr>
        <w:t>方，季度实际支付金额按《埭头镇绿化管养考核实施细则》规定发生扣款的在季度作业服务款中支付扣除。</w:t>
      </w:r>
    </w:p>
    <w:p w14:paraId="0561B362">
      <w:pPr>
        <w:pStyle w:val="13"/>
        <w:numPr>
          <w:ilvl w:val="0"/>
          <w:numId w:val="15"/>
        </w:numPr>
        <w:spacing w:before="306" w:line="220" w:lineRule="auto"/>
        <w:ind w:left="573"/>
        <w:rPr>
          <w:spacing w:val="-3"/>
        </w:rPr>
      </w:pPr>
      <w:r>
        <w:rPr>
          <w:spacing w:val="-3"/>
        </w:rPr>
        <w:t>养护标准及内容</w:t>
      </w:r>
    </w:p>
    <w:p w14:paraId="0B2EC740">
      <w:pPr>
        <w:pStyle w:val="13"/>
        <w:numPr>
          <w:ilvl w:val="0"/>
          <w:numId w:val="0"/>
        </w:numPr>
        <w:spacing w:before="306" w:line="220" w:lineRule="auto"/>
        <w:ind w:firstLine="444" w:firstLineChars="200"/>
      </w:pPr>
      <w:r>
        <w:rPr>
          <w:spacing w:val="-9"/>
        </w:rPr>
        <w:t>(一)</w:t>
      </w:r>
      <w:r>
        <w:rPr>
          <w:spacing w:val="-38"/>
        </w:rPr>
        <w:t xml:space="preserve"> </w:t>
      </w:r>
      <w:r>
        <w:rPr>
          <w:spacing w:val="-9"/>
        </w:rPr>
        <w:t>技术标准</w:t>
      </w:r>
    </w:p>
    <w:p w14:paraId="6AE913E8">
      <w:pPr>
        <w:pStyle w:val="13"/>
        <w:spacing w:before="276" w:line="421" w:lineRule="auto"/>
        <w:ind w:left="8" w:right="321" w:firstLine="498"/>
        <w:jc w:val="both"/>
      </w:pPr>
      <w:r>
        <w:rPr>
          <w:spacing w:val="-1"/>
        </w:rPr>
        <w:t>1、乙方养护质量，必须参照《埭头镇绿地管理要求》、依据《埭头镇绿</w:t>
      </w:r>
      <w:r>
        <w:rPr>
          <w:spacing w:val="-2"/>
        </w:rPr>
        <w:t>化管养</w:t>
      </w:r>
      <w:r>
        <w:t xml:space="preserve"> 考核实施细则》规定。养护区域须达到（绿地管理要求）相</w:t>
      </w:r>
      <w:r>
        <w:rPr>
          <w:spacing w:val="-1"/>
        </w:rPr>
        <w:t>应级别的养护标准，并</w:t>
      </w:r>
      <w:r>
        <w:t xml:space="preserve">  </w:t>
      </w:r>
      <w:r>
        <w:rPr>
          <w:spacing w:val="-1"/>
        </w:rPr>
        <w:t>接受甲方考核和监督。</w:t>
      </w:r>
    </w:p>
    <w:p w14:paraId="20C58EFB">
      <w:pPr>
        <w:pStyle w:val="13"/>
        <w:spacing w:before="37" w:line="220" w:lineRule="auto"/>
        <w:ind w:firstLine="472" w:firstLineChars="200"/>
      </w:pPr>
      <w:r>
        <w:rPr>
          <w:spacing w:val="-2"/>
        </w:rPr>
        <w:t>2、合同履行期内乙方须保证成活率</w:t>
      </w:r>
      <w:r>
        <w:rPr>
          <w:spacing w:val="-32"/>
        </w:rPr>
        <w:t xml:space="preserve"> </w:t>
      </w:r>
      <w:r>
        <w:rPr>
          <w:spacing w:val="-2"/>
        </w:rPr>
        <w:t>100%。</w:t>
      </w:r>
    </w:p>
    <w:p w14:paraId="5A6F0BDC">
      <w:pPr>
        <w:pStyle w:val="13"/>
        <w:spacing w:before="273" w:line="220" w:lineRule="auto"/>
        <w:ind w:firstLine="444" w:firstLineChars="200"/>
      </w:pPr>
      <w:r>
        <w:rPr>
          <w:spacing w:val="-9"/>
        </w:rPr>
        <w:t>(二)</w:t>
      </w:r>
      <w:r>
        <w:rPr>
          <w:spacing w:val="-38"/>
        </w:rPr>
        <w:t xml:space="preserve"> </w:t>
      </w:r>
      <w:r>
        <w:rPr>
          <w:spacing w:val="-9"/>
        </w:rPr>
        <w:t>养护内容</w:t>
      </w:r>
    </w:p>
    <w:p w14:paraId="0A8ABBCC">
      <w:pPr>
        <w:pStyle w:val="13"/>
        <w:spacing w:before="272" w:line="419" w:lineRule="auto"/>
        <w:ind w:left="11" w:right="351" w:firstLine="495"/>
      </w:pPr>
      <w:r>
        <w:rPr>
          <w:spacing w:val="-2"/>
        </w:rPr>
        <w:t>1、乙方养护工作包括但不限于卫生保洁、草坪养护、乔灌木保护、设施维护、</w:t>
      </w:r>
      <w:r>
        <w:rPr>
          <w:spacing w:val="2"/>
        </w:rPr>
        <w:t xml:space="preserve"> </w:t>
      </w:r>
      <w:r>
        <w:t>绿地秩序管理、台账记录以及其他。具体要求参见</w:t>
      </w:r>
      <w:r>
        <w:rPr>
          <w:spacing w:val="-1"/>
        </w:rPr>
        <w:t>（绿化管养考核实施细则）。</w:t>
      </w:r>
    </w:p>
    <w:p w14:paraId="337CB9AC">
      <w:pPr>
        <w:pStyle w:val="13"/>
        <w:spacing w:before="33" w:line="416" w:lineRule="auto"/>
        <w:ind w:left="13" w:right="321" w:firstLine="479"/>
      </w:pPr>
      <w:r>
        <w:rPr>
          <w:spacing w:val="-1"/>
        </w:rPr>
        <w:t>2、如遇高温、台风、洪涝、冻害等不良天气因素，乙方应根据气象局官方预警</w:t>
      </w:r>
      <w:r>
        <w:rPr>
          <w:spacing w:val="12"/>
        </w:rPr>
        <w:t xml:space="preserve"> </w:t>
      </w:r>
      <w:r>
        <w:rPr>
          <w:spacing w:val="-3"/>
        </w:rPr>
        <w:t>发布</w:t>
      </w:r>
      <w:r>
        <w:rPr>
          <w:spacing w:val="-39"/>
        </w:rPr>
        <w:t xml:space="preserve"> </w:t>
      </w:r>
      <w:r>
        <w:rPr>
          <w:spacing w:val="-3"/>
        </w:rPr>
        <w:t>3 日内，制定防灾处置措施，并报甲方审核，同意后按计划实施。</w:t>
      </w:r>
    </w:p>
    <w:p w14:paraId="62388D11">
      <w:pPr>
        <w:pStyle w:val="13"/>
        <w:spacing w:before="38" w:line="220" w:lineRule="auto"/>
        <w:ind w:left="571"/>
      </w:pPr>
      <w:r>
        <w:rPr>
          <w:spacing w:val="-3"/>
        </w:rPr>
        <w:t>六、养护管理及考核</w:t>
      </w:r>
    </w:p>
    <w:p w14:paraId="40541F59">
      <w:pPr>
        <w:pStyle w:val="13"/>
        <w:spacing w:before="272" w:line="417" w:lineRule="auto"/>
        <w:ind w:left="21" w:right="321" w:firstLine="486"/>
      </w:pPr>
      <w:r>
        <w:rPr>
          <w:spacing w:val="-3"/>
        </w:rPr>
        <w:t>1、绿地管养考核实行百分制（满分为</w:t>
      </w:r>
      <w:r>
        <w:rPr>
          <w:spacing w:val="-32"/>
        </w:rPr>
        <w:t xml:space="preserve"> </w:t>
      </w:r>
      <w:r>
        <w:rPr>
          <w:spacing w:val="-3"/>
        </w:rPr>
        <w:t>100</w:t>
      </w:r>
      <w:r>
        <w:rPr>
          <w:spacing w:val="-48"/>
        </w:rPr>
        <w:t xml:space="preserve"> </w:t>
      </w:r>
      <w:r>
        <w:rPr>
          <w:spacing w:val="-3"/>
        </w:rPr>
        <w:t>分</w:t>
      </w:r>
      <w:r>
        <w:rPr>
          <w:spacing w:val="12"/>
        </w:rPr>
        <w:t>），</w:t>
      </w:r>
      <w:r>
        <w:rPr>
          <w:spacing w:val="-3"/>
        </w:rPr>
        <w:t>按月考评。具体实施标准参见</w:t>
      </w:r>
      <w:r>
        <w:t xml:space="preserve"> </w:t>
      </w:r>
      <w:r>
        <w:rPr>
          <w:spacing w:val="-2"/>
        </w:rPr>
        <w:t>（绿化管养考核实施细则）。</w:t>
      </w:r>
    </w:p>
    <w:p w14:paraId="27A1BDCF">
      <w:pPr>
        <w:pStyle w:val="13"/>
        <w:spacing w:before="40" w:line="424" w:lineRule="auto"/>
        <w:ind w:left="8" w:right="241" w:firstLine="483"/>
        <w:jc w:val="both"/>
      </w:pPr>
      <w:r>
        <w:rPr>
          <w:spacing w:val="-5"/>
        </w:rPr>
        <w:t>2、乙方应具备专业养护队伍，必须具有一定数量的绿化管养机械设备（浇</w:t>
      </w:r>
      <w:r>
        <w:rPr>
          <w:spacing w:val="-6"/>
        </w:rPr>
        <w:t>水车、</w:t>
      </w:r>
      <w:r>
        <w:t xml:space="preserve"> </w:t>
      </w:r>
      <w:r>
        <w:rPr>
          <w:spacing w:val="-1"/>
        </w:rPr>
        <w:t>草坪修剪机、绿篱修剪机、治虫浇水设备等</w:t>
      </w:r>
      <w:r>
        <w:rPr>
          <w:spacing w:val="16"/>
        </w:rPr>
        <w:t>），</w:t>
      </w:r>
      <w:r>
        <w:rPr>
          <w:spacing w:val="-1"/>
        </w:rPr>
        <w:t>同时应配备一</w:t>
      </w:r>
      <w:r>
        <w:rPr>
          <w:spacing w:val="-2"/>
        </w:rPr>
        <w:t>定数量绿化工（或花</w:t>
      </w:r>
      <w:r>
        <w:t xml:space="preserve">  </w:t>
      </w:r>
      <w:r>
        <w:rPr>
          <w:spacing w:val="-1"/>
        </w:rPr>
        <w:t>卉工）或者绿化专业技术人员，人员年龄</w:t>
      </w:r>
      <w:r>
        <w:rPr>
          <w:spacing w:val="-33"/>
        </w:rPr>
        <w:t xml:space="preserve"> </w:t>
      </w:r>
      <w:r>
        <w:rPr>
          <w:spacing w:val="-1"/>
        </w:rPr>
        <w:t>18-60</w:t>
      </w:r>
      <w:r>
        <w:rPr>
          <w:spacing w:val="-50"/>
        </w:rPr>
        <w:t xml:space="preserve"> </w:t>
      </w:r>
      <w:r>
        <w:rPr>
          <w:spacing w:val="-1"/>
        </w:rPr>
        <w:t>周岁之间。如</w:t>
      </w:r>
      <w:r>
        <w:rPr>
          <w:spacing w:val="-2"/>
        </w:rPr>
        <w:t>需更换人员，需经甲</w:t>
      </w:r>
      <w:r>
        <w:t xml:space="preserve">  </w:t>
      </w:r>
      <w:r>
        <w:rPr>
          <w:spacing w:val="-3"/>
        </w:rPr>
        <w:t>方同意。</w:t>
      </w:r>
    </w:p>
    <w:p w14:paraId="6C621894">
      <w:pPr>
        <w:pStyle w:val="13"/>
        <w:spacing w:before="33" w:line="424" w:lineRule="auto"/>
        <w:ind w:left="9" w:right="321" w:firstLine="484"/>
      </w:pPr>
      <w:r>
        <w:rPr>
          <w:spacing w:val="-1"/>
        </w:rPr>
        <w:t>3、公园绿地必须配备专人保洁，保洁人员不得串岗、坐岗、流动等。保洁人员</w:t>
      </w:r>
      <w:r>
        <w:rPr>
          <w:spacing w:val="10"/>
        </w:rPr>
        <w:t xml:space="preserve"> </w:t>
      </w:r>
      <w:r>
        <w:t>必须配备扫帚、垃圾袋、垃圾夹子、簸箕等保洁工具。公</w:t>
      </w:r>
      <w:r>
        <w:rPr>
          <w:spacing w:val="-1"/>
        </w:rPr>
        <w:t>园内果壳箱必须保证安放</w:t>
      </w:r>
      <w:r>
        <w:t xml:space="preserve">  垃圾袋、禁止垃圾满溢。上述保洁工具、材料需乙方自行</w:t>
      </w:r>
      <w:r>
        <w:rPr>
          <w:spacing w:val="-1"/>
        </w:rPr>
        <w:t>提供，甲方无需另外支付</w:t>
      </w:r>
      <w:r>
        <w:t xml:space="preserve">  </w:t>
      </w:r>
      <w:r>
        <w:rPr>
          <w:spacing w:val="-2"/>
        </w:rPr>
        <w:t>相关费用。</w:t>
      </w:r>
    </w:p>
    <w:p w14:paraId="711DC8ED">
      <w:pPr>
        <w:pStyle w:val="13"/>
        <w:spacing w:before="34" w:line="220" w:lineRule="auto"/>
        <w:ind w:left="488"/>
      </w:pPr>
      <w:r>
        <w:rPr>
          <w:spacing w:val="-1"/>
        </w:rPr>
        <w:t>4、乙方在合同期内出现以下问题之一，养护合同将自动终止：</w:t>
      </w:r>
    </w:p>
    <w:p w14:paraId="1D55F6F7">
      <w:pPr>
        <w:pStyle w:val="13"/>
        <w:spacing w:before="275" w:line="220" w:lineRule="auto"/>
        <w:ind w:left="501"/>
      </w:pPr>
      <w:r>
        <w:rPr>
          <w:spacing w:val="-1"/>
        </w:rPr>
        <w:t>（1）养护年度中有连续两次月考核不合格</w:t>
      </w:r>
      <w:r>
        <w:rPr>
          <w:spacing w:val="-2"/>
        </w:rPr>
        <w:t>的（考核评分</w:t>
      </w:r>
      <w:r>
        <w:rPr>
          <w:spacing w:val="-50"/>
        </w:rPr>
        <w:t xml:space="preserve"> </w:t>
      </w:r>
      <w:r>
        <w:rPr>
          <w:spacing w:val="-2"/>
        </w:rPr>
        <w:t>80</w:t>
      </w:r>
      <w:r>
        <w:rPr>
          <w:spacing w:val="-47"/>
        </w:rPr>
        <w:t xml:space="preserve"> </w:t>
      </w:r>
      <w:r>
        <w:rPr>
          <w:spacing w:val="-2"/>
        </w:rPr>
        <w:t>分以下）。</w:t>
      </w:r>
    </w:p>
    <w:p w14:paraId="529E7348">
      <w:pPr>
        <w:pStyle w:val="13"/>
        <w:spacing w:before="274" w:line="416" w:lineRule="auto"/>
        <w:ind w:left="10" w:right="321" w:firstLine="490"/>
      </w:pPr>
      <w:r>
        <w:rPr>
          <w:spacing w:val="-1"/>
        </w:rPr>
        <w:t>（2）如在合同期内，发生重大质量、安全方面的责任事故，对绿化景观造成严</w:t>
      </w:r>
      <w:r>
        <w:rPr>
          <w:spacing w:val="3"/>
        </w:rPr>
        <w:t xml:space="preserve"> </w:t>
      </w:r>
      <w:r>
        <w:rPr>
          <w:spacing w:val="-1"/>
        </w:rPr>
        <w:t>重破坏或造成严重社会影响的(甲方将取消其管养资格，并依法继续向乙方追究相应</w:t>
      </w:r>
    </w:p>
    <w:p w14:paraId="07799362">
      <w:pPr>
        <w:spacing w:line="416" w:lineRule="auto"/>
        <w:sectPr>
          <w:headerReference r:id="rId11" w:type="default"/>
          <w:footerReference r:id="rId12" w:type="default"/>
          <w:pgSz w:w="11907" w:h="16840"/>
          <w:pgMar w:top="1134" w:right="1133" w:bottom="1014" w:left="1501" w:header="862" w:footer="852" w:gutter="0"/>
          <w:pgBorders>
            <w:top w:val="none" w:sz="0" w:space="0"/>
            <w:left w:val="none" w:sz="0" w:space="0"/>
            <w:bottom w:val="none" w:sz="0" w:space="0"/>
            <w:right w:val="none" w:sz="0" w:space="0"/>
          </w:pgBorders>
          <w:pgNumType w:fmt="decimal"/>
          <w:cols w:space="720" w:num="1"/>
        </w:sectPr>
      </w:pPr>
    </w:p>
    <w:p w14:paraId="74081833">
      <w:pPr>
        <w:spacing w:line="444" w:lineRule="auto"/>
        <w:rPr>
          <w:rFonts w:ascii="Arial"/>
          <w:sz w:val="21"/>
        </w:rPr>
      </w:pPr>
    </w:p>
    <w:p w14:paraId="6C0C72F1">
      <w:pPr>
        <w:pStyle w:val="13"/>
        <w:spacing w:before="78" w:line="220" w:lineRule="auto"/>
        <w:ind w:left="10"/>
      </w:pPr>
      <w:r>
        <w:rPr>
          <w:spacing w:val="-2"/>
        </w:rPr>
        <w:t>法律和经济责任）。</w:t>
      </w:r>
    </w:p>
    <w:p w14:paraId="5E4DFBDA">
      <w:pPr>
        <w:pStyle w:val="13"/>
        <w:spacing w:before="275" w:line="220" w:lineRule="auto"/>
        <w:ind w:left="501"/>
      </w:pPr>
      <w:r>
        <w:rPr>
          <w:spacing w:val="-2"/>
        </w:rPr>
        <w:t>（3）管养现场负责人随意更换的。</w:t>
      </w:r>
    </w:p>
    <w:p w14:paraId="70E8BD0C">
      <w:pPr>
        <w:pStyle w:val="13"/>
        <w:spacing w:before="273" w:line="220" w:lineRule="auto"/>
        <w:ind w:left="501"/>
      </w:pPr>
      <w:r>
        <w:rPr>
          <w:spacing w:val="-2"/>
        </w:rPr>
        <w:t>（4）管养合同进行转包的。</w:t>
      </w:r>
    </w:p>
    <w:p w14:paraId="6A90BC8D">
      <w:pPr>
        <w:pStyle w:val="13"/>
        <w:spacing w:before="273" w:line="220" w:lineRule="auto"/>
        <w:ind w:left="494"/>
      </w:pPr>
      <w:r>
        <w:rPr>
          <w:spacing w:val="-1"/>
        </w:rPr>
        <w:t>5、乙方被取消管养资格后，养护合同自行解除。甲方不承担任何乙方发生的费</w:t>
      </w:r>
    </w:p>
    <w:p w14:paraId="15E85510">
      <w:pPr>
        <w:pStyle w:val="13"/>
        <w:spacing w:before="275" w:line="220" w:lineRule="auto"/>
        <w:ind w:left="11"/>
      </w:pPr>
      <w:r>
        <w:rPr>
          <w:spacing w:val="-2"/>
        </w:rPr>
        <w:t>用，并有权重新发包。</w:t>
      </w:r>
    </w:p>
    <w:p w14:paraId="3C395ABE">
      <w:pPr>
        <w:pStyle w:val="13"/>
        <w:spacing w:before="273" w:line="220" w:lineRule="auto"/>
        <w:ind w:left="491"/>
      </w:pPr>
      <w:r>
        <w:rPr>
          <w:spacing w:val="-2"/>
        </w:rPr>
        <w:t>6、其它管养保证措施</w:t>
      </w:r>
    </w:p>
    <w:p w14:paraId="08C352B6">
      <w:pPr>
        <w:pStyle w:val="13"/>
        <w:spacing w:before="272" w:line="419" w:lineRule="auto"/>
        <w:ind w:left="8" w:right="321" w:firstLine="492"/>
      </w:pPr>
      <w:r>
        <w:rPr>
          <w:spacing w:val="-1"/>
        </w:rPr>
        <w:t>（1）根据管养需要，养护期间每个路段现场施工人员必须统一服装标志。现场</w:t>
      </w:r>
      <w:r>
        <w:rPr>
          <w:spacing w:val="3"/>
        </w:rPr>
        <w:t xml:space="preserve"> </w:t>
      </w:r>
      <w:r>
        <w:t>施工如需临时占道影响通行，要求划定作业区域，统一安</w:t>
      </w:r>
      <w:r>
        <w:rPr>
          <w:spacing w:val="-1"/>
        </w:rPr>
        <w:t>放施工作业警示标志。</w:t>
      </w:r>
    </w:p>
    <w:p w14:paraId="16453DCC">
      <w:pPr>
        <w:pStyle w:val="13"/>
        <w:spacing w:before="33" w:line="220" w:lineRule="auto"/>
        <w:ind w:left="501"/>
      </w:pPr>
      <w:r>
        <w:rPr>
          <w:spacing w:val="-2"/>
        </w:rPr>
        <w:t>（2）管养问题处置要求</w:t>
      </w:r>
    </w:p>
    <w:p w14:paraId="22DB5F17">
      <w:pPr>
        <w:pStyle w:val="13"/>
        <w:spacing w:before="272" w:line="418" w:lineRule="auto"/>
        <w:ind w:left="12" w:right="432" w:firstLine="488"/>
      </w:pPr>
      <w:r>
        <w:rPr>
          <w:spacing w:val="-1"/>
        </w:rPr>
        <w:t>（a） 现场苗木发生缺失或死亡，乙方需主动及时按照同品种同规格完成补栽</w:t>
      </w:r>
      <w:r>
        <w:rPr>
          <w:spacing w:val="13"/>
        </w:rPr>
        <w:t xml:space="preserve"> </w:t>
      </w:r>
      <w:r>
        <w:rPr>
          <w:spacing w:val="-2"/>
        </w:rPr>
        <w:t>或按市场价格赔偿。</w:t>
      </w:r>
    </w:p>
    <w:p w14:paraId="52F33A4B">
      <w:pPr>
        <w:pStyle w:val="13"/>
        <w:spacing w:before="34" w:line="417" w:lineRule="auto"/>
        <w:ind w:left="10" w:right="321" w:firstLine="490"/>
      </w:pPr>
      <w:r>
        <w:rPr>
          <w:spacing w:val="-1"/>
        </w:rPr>
        <w:t>（b）现场发生如卫生、苗木问题，由甲方或第三方平台发现并通知乙方后，乙</w:t>
      </w:r>
      <w:r>
        <w:rPr>
          <w:spacing w:val="3"/>
        </w:rPr>
        <w:t xml:space="preserve"> </w:t>
      </w:r>
      <w:r>
        <w:rPr>
          <w:spacing w:val="-1"/>
        </w:rPr>
        <w:t>方需在在规定期限内，完成处置并结案。</w:t>
      </w:r>
    </w:p>
    <w:p w14:paraId="3BFB55AF">
      <w:pPr>
        <w:pStyle w:val="13"/>
        <w:spacing w:before="38" w:line="416" w:lineRule="auto"/>
        <w:ind w:left="9" w:right="321" w:firstLine="491"/>
      </w:pPr>
      <w:r>
        <w:rPr>
          <w:spacing w:val="-1"/>
        </w:rPr>
        <w:t>（c）如有特殊情况，规定时间内无法完成，乙方须在接到甲方整改通知（苗木</w:t>
      </w:r>
      <w:r>
        <w:rPr>
          <w:spacing w:val="3"/>
        </w:rPr>
        <w:t xml:space="preserve"> </w:t>
      </w:r>
      <w:r>
        <w:rPr>
          <w:spacing w:val="-2"/>
        </w:rPr>
        <w:t>补植）3 日内、（卫生保洁）10</w:t>
      </w:r>
      <w:r>
        <w:rPr>
          <w:spacing w:val="-48"/>
        </w:rPr>
        <w:t xml:space="preserve"> </w:t>
      </w:r>
      <w:r>
        <w:rPr>
          <w:spacing w:val="-2"/>
        </w:rPr>
        <w:t>分钟内向甲方提交书面延期情况说</w:t>
      </w:r>
      <w:r>
        <w:rPr>
          <w:spacing w:val="-3"/>
        </w:rPr>
        <w:t>明及完成期限，</w:t>
      </w:r>
    </w:p>
    <w:p w14:paraId="776176CF">
      <w:pPr>
        <w:pStyle w:val="13"/>
        <w:spacing w:before="36" w:line="220" w:lineRule="auto"/>
        <w:ind w:left="15"/>
      </w:pPr>
      <w:r>
        <w:rPr>
          <w:spacing w:val="-2"/>
        </w:rPr>
        <w:t>并经甲方同意后实施。</w:t>
      </w:r>
    </w:p>
    <w:p w14:paraId="690B86A7">
      <w:pPr>
        <w:pStyle w:val="13"/>
        <w:spacing w:before="275" w:line="417" w:lineRule="auto"/>
        <w:ind w:left="8" w:right="321" w:firstLine="493"/>
      </w:pPr>
      <w:r>
        <w:rPr>
          <w:spacing w:val="-1"/>
        </w:rPr>
        <w:t>（d）由于自然灾害和不可抗力原因造成的苗木缺失，由乙方向甲方提出书面申</w:t>
      </w:r>
      <w:r>
        <w:rPr>
          <w:spacing w:val="3"/>
        </w:rPr>
        <w:t xml:space="preserve"> </w:t>
      </w:r>
      <w:r>
        <w:rPr>
          <w:spacing w:val="-1"/>
        </w:rPr>
        <w:t>请，经甲方有关人员现场核实后，再做决定。</w:t>
      </w:r>
    </w:p>
    <w:p w14:paraId="7CE9BA45">
      <w:pPr>
        <w:pStyle w:val="13"/>
        <w:spacing w:before="35" w:line="422" w:lineRule="auto"/>
        <w:ind w:left="10" w:right="321" w:firstLine="490"/>
      </w:pPr>
      <w:r>
        <w:rPr>
          <w:spacing w:val="-1"/>
        </w:rPr>
        <w:t>（e）所有甲方要求其整改的问题，乙方必须按要求在规定时间内处置完毕，并</w:t>
      </w:r>
      <w:r>
        <w:rPr>
          <w:spacing w:val="3"/>
        </w:rPr>
        <w:t xml:space="preserve"> </w:t>
      </w:r>
      <w:r>
        <w:t>保留影像资料，向甲方回复（处置完成时间以整改照片</w:t>
      </w:r>
      <w:r>
        <w:rPr>
          <w:spacing w:val="-1"/>
        </w:rPr>
        <w:t>为准）。超时案件扣分根据</w:t>
      </w:r>
      <w:r>
        <w:t xml:space="preserve">  </w:t>
      </w:r>
      <w:r>
        <w:rPr>
          <w:spacing w:val="-1"/>
        </w:rPr>
        <w:t>（绿化管养考核实施细则）加倍实施。</w:t>
      </w:r>
    </w:p>
    <w:p w14:paraId="0623F0D8">
      <w:pPr>
        <w:pStyle w:val="13"/>
        <w:spacing w:before="34" w:line="424" w:lineRule="auto"/>
        <w:ind w:left="9" w:right="261" w:firstLine="491"/>
        <w:jc w:val="both"/>
      </w:pPr>
      <w:r>
        <w:rPr>
          <w:spacing w:val="-1"/>
        </w:rPr>
        <w:t>（3）管养人员的工资待遇、降温补贴、保险、福利等，要求按照最新的劳动合</w:t>
      </w:r>
      <w:r>
        <w:rPr>
          <w:spacing w:val="3"/>
        </w:rPr>
        <w:t xml:space="preserve"> </w:t>
      </w:r>
      <w:r>
        <w:t>同法和上级政策的有关规定执行，对可能出现的劳资纠纷</w:t>
      </w:r>
      <w:r>
        <w:rPr>
          <w:spacing w:val="-1"/>
        </w:rPr>
        <w:t>、民事责任等，一律由管</w:t>
      </w:r>
      <w:r>
        <w:t xml:space="preserve">  </w:t>
      </w:r>
      <w:r>
        <w:rPr>
          <w:spacing w:val="-2"/>
        </w:rPr>
        <w:t>养方自行处理解决，甲方不参与管养单位内部管理经营。人工费用具</w:t>
      </w:r>
      <w:r>
        <w:rPr>
          <w:spacing w:val="-3"/>
        </w:rPr>
        <w:t>体测算依据为：</w:t>
      </w:r>
      <w:r>
        <w:t xml:space="preserve"> </w:t>
      </w:r>
      <w:r>
        <w:rPr>
          <w:spacing w:val="-1"/>
        </w:rPr>
        <w:t>执行溧阳市最低工资标准，按规定交纳五金。</w:t>
      </w:r>
    </w:p>
    <w:p w14:paraId="2B8D1DC1">
      <w:pPr>
        <w:spacing w:line="424" w:lineRule="auto"/>
        <w:sectPr>
          <w:footerReference r:id="rId13" w:type="default"/>
          <w:pgSz w:w="11907" w:h="16840"/>
          <w:pgMar w:top="1134" w:right="1133" w:bottom="1014" w:left="1701" w:header="862" w:footer="852" w:gutter="0"/>
          <w:pgBorders>
            <w:top w:val="none" w:sz="0" w:space="0"/>
            <w:left w:val="none" w:sz="0" w:space="0"/>
            <w:bottom w:val="none" w:sz="0" w:space="0"/>
            <w:right w:val="none" w:sz="0" w:space="0"/>
          </w:pgBorders>
          <w:pgNumType w:fmt="decimal"/>
          <w:cols w:space="720" w:num="1"/>
        </w:sectPr>
      </w:pPr>
    </w:p>
    <w:p w14:paraId="39E9DFFE">
      <w:pPr>
        <w:spacing w:line="445" w:lineRule="auto"/>
        <w:rPr>
          <w:rFonts w:ascii="Arial"/>
          <w:sz w:val="21"/>
        </w:rPr>
      </w:pPr>
    </w:p>
    <w:p w14:paraId="366EB86A">
      <w:pPr>
        <w:pStyle w:val="13"/>
        <w:spacing w:before="78" w:line="219" w:lineRule="auto"/>
        <w:jc w:val="right"/>
      </w:pPr>
      <w:r>
        <w:rPr>
          <w:spacing w:val="-2"/>
        </w:rPr>
        <w:t>七、本合同一式陆份，甲方叁份，乙方贰份，代理公司壹份，经双方签字盖章后生</w:t>
      </w:r>
    </w:p>
    <w:p w14:paraId="5E7E8402">
      <w:pPr>
        <w:pStyle w:val="13"/>
        <w:spacing w:before="276" w:line="221" w:lineRule="auto"/>
        <w:ind w:left="100"/>
        <w:outlineLvl w:val="0"/>
      </w:pPr>
      <w:r>
        <w:rPr>
          <w:spacing w:val="-8"/>
        </w:rPr>
        <w:t>效。</w:t>
      </w:r>
    </w:p>
    <w:p w14:paraId="63A9D653">
      <w:pPr>
        <w:spacing w:line="295" w:lineRule="auto"/>
        <w:rPr>
          <w:rFonts w:ascii="Arial"/>
          <w:sz w:val="21"/>
        </w:rPr>
      </w:pPr>
    </w:p>
    <w:p w14:paraId="54C9DC15">
      <w:pPr>
        <w:spacing w:line="296" w:lineRule="auto"/>
        <w:rPr>
          <w:rFonts w:ascii="Arial"/>
          <w:sz w:val="21"/>
        </w:rPr>
      </w:pPr>
    </w:p>
    <w:p w14:paraId="354AD253">
      <w:pPr>
        <w:pStyle w:val="13"/>
        <w:spacing w:before="78" w:line="219" w:lineRule="auto"/>
        <w:ind w:left="31"/>
      </w:pPr>
      <w:r>
        <w:rPr>
          <w:spacing w:val="-7"/>
        </w:rPr>
        <w:t>甲方（盖章</w:t>
      </w:r>
      <w:r>
        <w:t xml:space="preserve">）：                           </w:t>
      </w:r>
      <w:r>
        <w:rPr>
          <w:spacing w:val="-7"/>
        </w:rPr>
        <w:t>乙方（盖章</w:t>
      </w:r>
      <w:r>
        <w:t>）：</w:t>
      </w:r>
    </w:p>
    <w:p w14:paraId="496E3565">
      <w:pPr>
        <w:pStyle w:val="13"/>
        <w:spacing w:before="180" w:line="220" w:lineRule="auto"/>
        <w:ind w:left="1"/>
      </w:pPr>
      <w:r>
        <w:rPr>
          <w:spacing w:val="-2"/>
        </w:rPr>
        <w:t>法定（授权）代表人：</w:t>
      </w:r>
      <w:r>
        <w:rPr>
          <w:spacing w:val="6"/>
        </w:rPr>
        <w:t xml:space="preserve">                    </w:t>
      </w:r>
      <w:r>
        <w:rPr>
          <w:spacing w:val="-2"/>
        </w:rPr>
        <w:t>法定（授权）代表人：</w:t>
      </w:r>
    </w:p>
    <w:p w14:paraId="10D7A40C">
      <w:pPr>
        <w:pStyle w:val="13"/>
        <w:spacing w:before="181" w:line="220" w:lineRule="auto"/>
      </w:pPr>
      <w:r>
        <w:rPr>
          <w:spacing w:val="-1"/>
        </w:rPr>
        <w:t>委托代理人：                             委托代理人：</w:t>
      </w:r>
    </w:p>
    <w:p w14:paraId="0D43BCFD">
      <w:pPr>
        <w:pStyle w:val="13"/>
        <w:spacing w:before="180" w:line="229" w:lineRule="auto"/>
      </w:pPr>
      <w:r>
        <w:rPr>
          <w:spacing w:val="-1"/>
        </w:rPr>
        <w:t>地址：                                   地址：</w:t>
      </w:r>
    </w:p>
    <w:p w14:paraId="2A68FF68">
      <w:pPr>
        <w:pStyle w:val="13"/>
        <w:spacing w:before="170" w:line="222" w:lineRule="auto"/>
        <w:ind w:left="1"/>
      </w:pPr>
      <w:r>
        <w:rPr>
          <w:spacing w:val="-1"/>
        </w:rPr>
        <w:t>联系电话：                               联系电话：</w:t>
      </w:r>
    </w:p>
    <w:p w14:paraId="52CBC957">
      <w:pPr>
        <w:pStyle w:val="13"/>
        <w:spacing w:before="178" w:line="347" w:lineRule="auto"/>
        <w:ind w:left="4897" w:right="3372" w:hanging="2"/>
      </w:pPr>
      <w:r>
        <w:rPr>
          <w:spacing w:val="-18"/>
        </w:rPr>
        <w:t>开户行：</w:t>
      </w:r>
      <w:r>
        <w:t xml:space="preserve"> </w:t>
      </w:r>
      <w:r>
        <w:rPr>
          <w:spacing w:val="-5"/>
        </w:rPr>
        <w:t>账号：</w:t>
      </w:r>
    </w:p>
    <w:p w14:paraId="29AA499A">
      <w:pPr>
        <w:spacing w:line="347" w:lineRule="auto"/>
        <w:sectPr>
          <w:headerReference r:id="rId14" w:type="default"/>
          <w:footerReference r:id="rId15" w:type="default"/>
          <w:pgSz w:w="11907" w:h="16840"/>
          <w:pgMar w:top="1134" w:right="1133" w:bottom="1014" w:left="1616" w:header="862" w:footer="852" w:gutter="0"/>
          <w:pgBorders>
            <w:top w:val="none" w:sz="0" w:space="0"/>
            <w:left w:val="none" w:sz="0" w:space="0"/>
            <w:bottom w:val="none" w:sz="0" w:space="0"/>
            <w:right w:val="none" w:sz="0" w:space="0"/>
          </w:pgBorders>
          <w:pgNumType w:fmt="decimal"/>
          <w:cols w:space="720" w:num="1"/>
        </w:sectPr>
      </w:pPr>
    </w:p>
    <w:p w14:paraId="4A5A21BF">
      <w:pPr>
        <w:spacing w:line="360" w:lineRule="auto"/>
        <w:jc w:val="center"/>
        <w:outlineLvl w:val="0"/>
        <w:rPr>
          <w:b/>
          <w:sz w:val="36"/>
          <w:szCs w:val="36"/>
        </w:rPr>
      </w:pPr>
      <w:bookmarkStart w:id="641" w:name="_Toc104818930"/>
      <w:r>
        <w:rPr>
          <w:b/>
          <w:sz w:val="36"/>
          <w:szCs w:val="36"/>
        </w:rPr>
        <w:t>第六章   响应文件格式</w:t>
      </w:r>
      <w:bookmarkEnd w:id="641"/>
    </w:p>
    <w:p w14:paraId="3EFA1334">
      <w:pPr>
        <w:widowControl/>
        <w:spacing w:line="360" w:lineRule="auto"/>
        <w:jc w:val="left"/>
        <w:rPr>
          <w:b/>
          <w:sz w:val="24"/>
        </w:rPr>
      </w:pPr>
    </w:p>
    <w:p w14:paraId="2BF625AE">
      <w:pPr>
        <w:tabs>
          <w:tab w:val="left" w:pos="900"/>
          <w:tab w:val="left" w:pos="1980"/>
        </w:tabs>
        <w:spacing w:line="360" w:lineRule="auto"/>
        <w:ind w:left="142"/>
        <w:rPr>
          <w:b/>
          <w:sz w:val="24"/>
        </w:rPr>
      </w:pPr>
      <w:r>
        <w:rPr>
          <w:rFonts w:hint="eastAsia"/>
          <w:b/>
          <w:sz w:val="24"/>
        </w:rPr>
        <w:t>供应商编制文件须知</w:t>
      </w:r>
    </w:p>
    <w:p w14:paraId="35305D7E">
      <w:pPr>
        <w:tabs>
          <w:tab w:val="left" w:pos="900"/>
          <w:tab w:val="left" w:pos="1980"/>
        </w:tabs>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0A400E44">
      <w:pPr>
        <w:tabs>
          <w:tab w:val="left" w:pos="900"/>
          <w:tab w:val="left" w:pos="1980"/>
        </w:tabs>
        <w:spacing w:line="360" w:lineRule="auto"/>
        <w:ind w:left="142"/>
        <w:rPr>
          <w:sz w:val="24"/>
        </w:rPr>
      </w:pPr>
      <w:r>
        <w:rPr>
          <w:sz w:val="24"/>
        </w:rPr>
        <w:t>2、对于竞争性磋商文件中标记了</w:t>
      </w:r>
      <w:r>
        <w:rPr>
          <w:rFonts w:hint="eastAsia"/>
          <w:sz w:val="24"/>
          <w:lang w:eastAsia="zh-CN"/>
        </w:rPr>
        <w:t>“</w:t>
      </w:r>
      <w:r>
        <w:rPr>
          <w:sz w:val="24"/>
        </w:rPr>
        <w:t>实质性格式</w:t>
      </w:r>
      <w:r>
        <w:rPr>
          <w:rFonts w:hint="eastAsia"/>
          <w:sz w:val="24"/>
          <w:lang w:eastAsia="zh-CN"/>
        </w:rPr>
        <w:t>”</w:t>
      </w:r>
      <w:r>
        <w:rPr>
          <w:sz w:val="24"/>
        </w:rPr>
        <w:t>文件的，供应商不得改变格式中给定的文字所表达的含义，不得删减格式中的实质性内容，不得自行添加与格式中给定的文字内容相矛盾的内容，不得对应当填写的空格不填写或不实质性响应，</w:t>
      </w:r>
      <w:r>
        <w:rPr>
          <w:b/>
          <w:sz w:val="24"/>
        </w:rPr>
        <w:t>否则响应无效</w:t>
      </w:r>
      <w:r>
        <w:rPr>
          <w:sz w:val="24"/>
        </w:rPr>
        <w:t>。未标记</w:t>
      </w:r>
      <w:r>
        <w:rPr>
          <w:rFonts w:hint="eastAsia"/>
          <w:sz w:val="24"/>
          <w:lang w:eastAsia="zh-CN"/>
        </w:rPr>
        <w:t>“</w:t>
      </w:r>
      <w:r>
        <w:rPr>
          <w:sz w:val="24"/>
        </w:rPr>
        <w:t>实质性格式</w:t>
      </w:r>
      <w:r>
        <w:rPr>
          <w:rFonts w:hint="eastAsia"/>
          <w:sz w:val="24"/>
          <w:lang w:eastAsia="zh-CN"/>
        </w:rPr>
        <w:t>”</w:t>
      </w:r>
      <w:r>
        <w:rPr>
          <w:sz w:val="24"/>
        </w:rPr>
        <w:t>的文件和竞争性磋商文件未提供格式的内容，可由供应商自行编写。</w:t>
      </w:r>
    </w:p>
    <w:p w14:paraId="1FD9149E">
      <w:pPr>
        <w:tabs>
          <w:tab w:val="left" w:pos="900"/>
          <w:tab w:val="left" w:pos="1980"/>
        </w:tabs>
        <w:spacing w:line="360" w:lineRule="auto"/>
        <w:ind w:left="142"/>
        <w:rPr>
          <w:sz w:val="24"/>
        </w:rPr>
      </w:pPr>
      <w:r>
        <w:rPr>
          <w:sz w:val="24"/>
        </w:rPr>
        <w:t>3、全部声明和问题的回答及所附材料必须是真实的、准确的和完整的。</w:t>
      </w:r>
    </w:p>
    <w:p w14:paraId="11923B5A">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响应文件编制工具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5AAD268E">
      <w:pPr>
        <w:tabs>
          <w:tab w:val="left" w:pos="900"/>
          <w:tab w:val="left" w:pos="1980"/>
        </w:tabs>
        <w:spacing w:line="360" w:lineRule="auto"/>
        <w:ind w:left="142"/>
        <w:rPr>
          <w:sz w:val="24"/>
        </w:rPr>
      </w:pPr>
    </w:p>
    <w:p w14:paraId="6F4D3372">
      <w:pPr>
        <w:widowControl/>
        <w:jc w:val="center"/>
        <w:rPr>
          <w:sz w:val="24"/>
        </w:rPr>
      </w:pPr>
      <w:r>
        <w:rPr>
          <w:sz w:val="24"/>
        </w:rPr>
        <w:br w:type="page" w:clear="all"/>
      </w:r>
    </w:p>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14:paraId="24E8FE8B">
      <w:pPr>
        <w:jc w:val="center"/>
        <w:rPr>
          <w:b/>
          <w:spacing w:val="20"/>
          <w:szCs w:val="21"/>
        </w:rPr>
      </w:pPr>
    </w:p>
    <w:p w14:paraId="3DCECE98">
      <w:pPr>
        <w:jc w:val="both"/>
        <w:rPr>
          <w:b/>
          <w:sz w:val="24"/>
        </w:rPr>
      </w:pPr>
      <w:r>
        <w:rPr>
          <w:b/>
          <w:spacing w:val="20"/>
          <w:sz w:val="24"/>
        </w:rPr>
        <w:t>响应文件</w:t>
      </w:r>
      <w:r>
        <w:rPr>
          <w:b/>
          <w:sz w:val="24"/>
        </w:rPr>
        <w:t>封面（非实质性格式）</w:t>
      </w:r>
    </w:p>
    <w:p w14:paraId="35747723">
      <w:pPr>
        <w:jc w:val="center"/>
        <w:rPr>
          <w:szCs w:val="21"/>
        </w:rPr>
      </w:pPr>
    </w:p>
    <w:p w14:paraId="556E329F">
      <w:pPr>
        <w:jc w:val="center"/>
        <w:rPr>
          <w:b/>
          <w:spacing w:val="60"/>
          <w:sz w:val="84"/>
          <w:szCs w:val="84"/>
        </w:rPr>
      </w:pPr>
    </w:p>
    <w:p w14:paraId="4804CCAB">
      <w:pPr>
        <w:jc w:val="center"/>
        <w:rPr>
          <w:b/>
          <w:spacing w:val="60"/>
          <w:sz w:val="84"/>
          <w:szCs w:val="84"/>
        </w:rPr>
      </w:pPr>
      <w:r>
        <w:rPr>
          <w:b/>
          <w:spacing w:val="60"/>
          <w:sz w:val="84"/>
          <w:szCs w:val="84"/>
        </w:rPr>
        <w:t>响 应 文 件</w:t>
      </w:r>
    </w:p>
    <w:p w14:paraId="2CC58F25">
      <w:pPr>
        <w:jc w:val="center"/>
        <w:rPr>
          <w:b/>
          <w:spacing w:val="60"/>
          <w:sz w:val="52"/>
          <w:szCs w:val="52"/>
        </w:rPr>
      </w:pPr>
    </w:p>
    <w:p w14:paraId="6B66D9E6">
      <w:pPr>
        <w:ind w:firstLine="542"/>
        <w:rPr>
          <w:b/>
          <w:spacing w:val="20"/>
          <w:sz w:val="32"/>
          <w:szCs w:val="32"/>
        </w:rPr>
      </w:pPr>
    </w:p>
    <w:p w14:paraId="15AAC155">
      <w:pPr>
        <w:ind w:firstLine="542"/>
        <w:rPr>
          <w:b/>
          <w:spacing w:val="20"/>
          <w:sz w:val="32"/>
          <w:szCs w:val="32"/>
        </w:rPr>
      </w:pPr>
    </w:p>
    <w:p w14:paraId="3226637C">
      <w:pPr>
        <w:spacing w:line="360" w:lineRule="auto"/>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68FAC58D">
      <w:pPr>
        <w:spacing w:line="360" w:lineRule="auto"/>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1AD18C1D">
      <w:pPr>
        <w:spacing w:line="360" w:lineRule="auto"/>
        <w:rPr>
          <w:rFonts w:hint="eastAsia" w:ascii="宋体" w:hAnsi="宋体"/>
          <w:b/>
          <w:sz w:val="36"/>
        </w:rPr>
      </w:pPr>
      <w:r>
        <w:rPr>
          <w:rFonts w:hint="eastAsia" w:ascii="宋体" w:hAnsi="宋体"/>
          <w:b/>
          <w:sz w:val="36"/>
        </w:rPr>
        <w:t xml:space="preserve">      供应商名称 ：</w:t>
      </w:r>
      <w:r>
        <w:rPr>
          <w:rFonts w:hint="eastAsia" w:ascii="宋体" w:hAnsi="宋体"/>
          <w:b/>
          <w:sz w:val="36"/>
          <w:u w:val="single"/>
        </w:rPr>
        <w:t xml:space="preserve">               </w:t>
      </w:r>
    </w:p>
    <w:p w14:paraId="7E6957EF">
      <w:pPr>
        <w:spacing w:line="360" w:lineRule="auto"/>
        <w:ind w:firstLine="1084"/>
        <w:rPr>
          <w:rFonts w:ascii="宋体" w:hAnsi="宋体"/>
          <w:b/>
          <w:sz w:val="36"/>
        </w:rPr>
      </w:pPr>
      <w:r>
        <w:rPr>
          <w:rFonts w:hint="eastAsia" w:ascii="宋体" w:hAnsi="宋体"/>
          <w:b/>
          <w:sz w:val="36"/>
        </w:rPr>
        <w:t>日      期 ：</w:t>
      </w:r>
      <w:r>
        <w:rPr>
          <w:rFonts w:hint="eastAsia" w:ascii="宋体" w:hAnsi="宋体"/>
          <w:b/>
          <w:sz w:val="36"/>
          <w:u w:val="single"/>
        </w:rPr>
        <w:t xml:space="preserve">               </w:t>
      </w:r>
    </w:p>
    <w:p w14:paraId="3937F025">
      <w:pPr>
        <w:jc w:val="center"/>
        <w:rPr>
          <w:b/>
          <w:sz w:val="32"/>
          <w:szCs w:val="32"/>
        </w:rPr>
      </w:pPr>
    </w:p>
    <w:p w14:paraId="39302D6F">
      <w:pPr>
        <w:rPr>
          <w:sz w:val="24"/>
        </w:rPr>
      </w:pPr>
      <w:r>
        <w:rPr>
          <w:b/>
          <w:spacing w:val="20"/>
          <w:sz w:val="32"/>
          <w:szCs w:val="32"/>
        </w:rPr>
        <w:br w:type="page" w:clear="all"/>
      </w:r>
      <w:r>
        <w:rPr>
          <w:color w:val="000000"/>
          <w:sz w:val="24"/>
          <w:szCs w:val="20"/>
        </w:rPr>
        <w:t xml:space="preserve">1 </w:t>
      </w:r>
      <w:r>
        <w:rPr>
          <w:sz w:val="24"/>
        </w:rPr>
        <w:t>满足《中华人民共和国政府采购法》第二十二条规定及法律法规的其他规定</w:t>
      </w:r>
    </w:p>
    <w:p w14:paraId="6B3FA231">
      <w:pPr>
        <w:spacing w:line="360" w:lineRule="auto"/>
        <w:outlineLvl w:val="2"/>
        <w:rPr>
          <w:rFonts w:hint="eastAsia" w:ascii="宋体" w:hAnsi="宋体" w:cs="宋体"/>
          <w:b/>
          <w:sz w:val="28"/>
          <w:szCs w:val="28"/>
        </w:rPr>
      </w:pPr>
      <w:r>
        <w:rPr>
          <w:rFonts w:ascii="Times New Roman" w:hAnsi="Times New Roman" w:eastAsia="宋体" w:cs="Times New Roman"/>
          <w:sz w:val="24"/>
        </w:rPr>
        <w:t>1-</w:t>
      </w:r>
      <w:r>
        <w:rPr>
          <w:rFonts w:hint="eastAsia" w:ascii="Times New Roman" w:hAnsi="Times New Roman" w:eastAsia="宋体" w:cs="Times New Roman"/>
          <w:sz w:val="24"/>
        </w:rPr>
        <w:t>1</w:t>
      </w:r>
      <w:r>
        <w:rPr>
          <w:rFonts w:ascii="Times New Roman" w:hAnsi="Times New Roman" w:eastAsia="宋体" w:cs="Times New Roman"/>
          <w:sz w:val="24"/>
        </w:rPr>
        <w:t xml:space="preserve"> 供应商资格声明</w:t>
      </w:r>
      <w:r>
        <w:rPr>
          <w:rFonts w:hint="eastAsia" w:ascii="Times New Roman" w:hAnsi="Times New Roman" w:eastAsia="宋体" w:cs="Times New Roman"/>
          <w:sz w:val="24"/>
        </w:rPr>
        <w:t>函</w:t>
      </w:r>
      <w:r>
        <w:rPr>
          <w:rFonts w:ascii="Times New Roman" w:hAnsi="Times New Roman" w:eastAsia="宋体" w:cs="Times New Roman"/>
          <w:sz w:val="24"/>
        </w:rPr>
        <w:t>（实质性格式）</w:t>
      </w:r>
    </w:p>
    <w:p w14:paraId="2499C04F">
      <w:pPr>
        <w:widowControl/>
        <w:spacing w:before="120" w:line="360" w:lineRule="auto"/>
        <w:jc w:val="center"/>
        <w:rPr>
          <w:rFonts w:ascii="宋体" w:hAnsi="宋体" w:cs="宋体"/>
          <w:szCs w:val="21"/>
        </w:rPr>
      </w:pPr>
      <w:r>
        <w:rPr>
          <w:rFonts w:hint="eastAsia" w:ascii="宋体" w:hAnsi="宋体" w:cs="宋体"/>
          <w:b/>
          <w:sz w:val="28"/>
          <w:szCs w:val="28"/>
        </w:rPr>
        <w:t>供应商资格声明函</w:t>
      </w:r>
    </w:p>
    <w:p w14:paraId="746E7101">
      <w:pPr>
        <w:pStyle w:val="204"/>
        <w:spacing w:line="460" w:lineRule="exact"/>
        <w:ind w:firstLine="480"/>
      </w:pPr>
    </w:p>
    <w:p w14:paraId="3EBB3A18">
      <w:pPr>
        <w:pStyle w:val="204"/>
        <w:keepNext w:val="0"/>
        <w:keepLines w:val="0"/>
        <w:pageBreakBefore w:val="0"/>
        <w:widowControl w:val="0"/>
        <w:spacing w:line="360" w:lineRule="auto"/>
        <w:ind w:firstLine="480"/>
        <w:jc w:val="both"/>
        <w:rPr>
          <w:u w:val="single"/>
        </w:rPr>
      </w:pPr>
      <w:r>
        <w:rPr>
          <w:rFonts w:hint="eastAsia"/>
        </w:rPr>
        <w:t>致：</w:t>
      </w:r>
      <w:r>
        <w:rPr>
          <w:rFonts w:hint="eastAsia"/>
          <w:u w:val="single"/>
        </w:rPr>
        <w:t>（采购人名称）</w:t>
      </w:r>
    </w:p>
    <w:p w14:paraId="6ED39670">
      <w:pPr>
        <w:pStyle w:val="204"/>
        <w:keepNext w:val="0"/>
        <w:keepLines w:val="0"/>
        <w:pageBreakBefore w:val="0"/>
        <w:widowControl w:val="0"/>
        <w:spacing w:line="360" w:lineRule="auto"/>
        <w:ind w:firstLine="480"/>
        <w:jc w:val="both"/>
      </w:pPr>
    </w:p>
    <w:p w14:paraId="1E70939D">
      <w:pPr>
        <w:pStyle w:val="204"/>
        <w:keepNext w:val="0"/>
        <w:keepLines w:val="0"/>
        <w:pageBreakBefore w:val="0"/>
        <w:widowControl w:val="0"/>
        <w:spacing w:line="360" w:lineRule="auto"/>
        <w:ind w:firstLine="480"/>
        <w:jc w:val="both"/>
      </w:pPr>
      <w:r>
        <w:rPr>
          <w:rFonts w:hint="eastAsia"/>
        </w:rPr>
        <w:t>按照《中华人民共和国政府采购法》第二十二条和磋商文件的规定，我单位郑重声明如下：</w:t>
      </w:r>
    </w:p>
    <w:p w14:paraId="76FEB784">
      <w:pPr>
        <w:pStyle w:val="204"/>
        <w:keepNext w:val="0"/>
        <w:keepLines w:val="0"/>
        <w:pageBreakBefore w:val="0"/>
        <w:widowControl w:val="0"/>
        <w:spacing w:line="360" w:lineRule="auto"/>
        <w:ind w:firstLine="480"/>
        <w:jc w:val="both"/>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2D69DF96">
      <w:pPr>
        <w:pStyle w:val="204"/>
        <w:keepNext w:val="0"/>
        <w:keepLines w:val="0"/>
        <w:pageBreakBefore w:val="0"/>
        <w:widowControl w:val="0"/>
        <w:spacing w:line="360" w:lineRule="auto"/>
        <w:ind w:firstLine="480"/>
        <w:jc w:val="both"/>
      </w:pPr>
      <w:r>
        <w:rPr>
          <w:rFonts w:hint="eastAsia"/>
        </w:rPr>
        <w:t>二、我单位未被</w:t>
      </w:r>
      <w:r>
        <w:rPr>
          <w:rFonts w:hint="eastAsia"/>
          <w:lang w:eastAsia="zh-CN"/>
        </w:rPr>
        <w:t>“</w:t>
      </w:r>
      <w:r>
        <w:rPr>
          <w:rFonts w:hint="eastAsia"/>
        </w:rPr>
        <w:t>国家企业信用信息系统</w:t>
      </w:r>
      <w:r>
        <w:rPr>
          <w:rFonts w:hint="eastAsia"/>
          <w:lang w:eastAsia="zh-CN"/>
        </w:rPr>
        <w:t>”</w:t>
      </w:r>
      <w:r>
        <w:rPr>
          <w:rFonts w:hint="eastAsia"/>
        </w:rPr>
        <w:t>列入经营异常名录或者严重违法企业名单。</w:t>
      </w:r>
    </w:p>
    <w:p w14:paraId="148227DC">
      <w:pPr>
        <w:pStyle w:val="204"/>
        <w:keepNext w:val="0"/>
        <w:keepLines w:val="0"/>
        <w:pageBreakBefore w:val="0"/>
        <w:widowControl w:val="0"/>
        <w:spacing w:line="360" w:lineRule="auto"/>
        <w:ind w:firstLine="480"/>
        <w:jc w:val="both"/>
      </w:pPr>
      <w:r>
        <w:rPr>
          <w:rFonts w:hint="eastAsia"/>
        </w:rPr>
        <w:t>三、我单位具有良好的商业信誉（指供应商经营状况良好，无本资格声明第十条情形）和健全的财务会计制度。</w:t>
      </w:r>
    </w:p>
    <w:p w14:paraId="4778748F">
      <w:pPr>
        <w:pStyle w:val="204"/>
        <w:keepNext w:val="0"/>
        <w:keepLines w:val="0"/>
        <w:pageBreakBefore w:val="0"/>
        <w:widowControl w:val="0"/>
        <w:spacing w:line="360" w:lineRule="auto"/>
        <w:ind w:firstLine="480"/>
        <w:jc w:val="both"/>
      </w:pPr>
      <w:r>
        <w:rPr>
          <w:rFonts w:hint="eastAsia"/>
        </w:rPr>
        <w:t>四、我单位依法进行纳税和社会保险申报并实际履行了义务。</w:t>
      </w:r>
    </w:p>
    <w:p w14:paraId="3D9075B7">
      <w:pPr>
        <w:pStyle w:val="204"/>
        <w:keepNext w:val="0"/>
        <w:keepLines w:val="0"/>
        <w:pageBreakBefore w:val="0"/>
        <w:widowControl w:val="0"/>
        <w:spacing w:line="360" w:lineRule="auto"/>
        <w:ind w:firstLine="480"/>
        <w:jc w:val="both"/>
      </w:pPr>
      <w:r>
        <w:rPr>
          <w:rFonts w:hint="eastAsia"/>
        </w:rPr>
        <w:t>五、我单位具有履行本项目采购合同所必需的设备和专业技术能力，并具有履行合同的良好</w:t>
      </w:r>
      <w:r>
        <w:t>记录</w:t>
      </w:r>
      <w:r>
        <w:rPr>
          <w:rFonts w:hint="eastAsia"/>
        </w:rPr>
        <w:t>。为履行本项采购合同我单位具备如下主要设备和主要专业技术能力:</w:t>
      </w:r>
    </w:p>
    <w:p w14:paraId="3775D5BE">
      <w:pPr>
        <w:pStyle w:val="204"/>
        <w:keepNext w:val="0"/>
        <w:keepLines w:val="0"/>
        <w:pageBreakBefore w:val="0"/>
        <w:widowControl w:val="0"/>
        <w:spacing w:line="360" w:lineRule="auto"/>
        <w:ind w:firstLine="480"/>
        <w:jc w:val="both"/>
      </w:pPr>
      <w:r>
        <w:rPr>
          <w:rFonts w:hint="eastAsia"/>
        </w:rPr>
        <w:t>主要设备有：</w:t>
      </w:r>
      <w:r>
        <w:rPr>
          <w:u w:val="single"/>
        </w:rPr>
        <w:t xml:space="preserve">            </w:t>
      </w:r>
    </w:p>
    <w:p w14:paraId="13BD2EFE">
      <w:pPr>
        <w:pStyle w:val="204"/>
        <w:keepNext w:val="0"/>
        <w:keepLines w:val="0"/>
        <w:pageBreakBefore w:val="0"/>
        <w:widowControl w:val="0"/>
        <w:spacing w:line="360" w:lineRule="auto"/>
        <w:ind w:firstLine="480"/>
        <w:jc w:val="both"/>
      </w:pPr>
      <w:r>
        <w:rPr>
          <w:rFonts w:hint="eastAsia"/>
        </w:rPr>
        <w:t>主要专业技术能力有</w:t>
      </w:r>
      <w:r>
        <w:rPr>
          <w:rFonts w:hint="eastAsia"/>
          <w:u w:val="single"/>
        </w:rPr>
        <w:t xml:space="preserve">                 </w:t>
      </w:r>
    </w:p>
    <w:p w14:paraId="6F7B7443">
      <w:pPr>
        <w:pStyle w:val="204"/>
        <w:keepNext w:val="0"/>
        <w:keepLines w:val="0"/>
        <w:pageBreakBefore w:val="0"/>
        <w:widowControl w:val="0"/>
        <w:spacing w:line="360" w:lineRule="auto"/>
        <w:ind w:firstLine="480"/>
        <w:jc w:val="both"/>
      </w:pPr>
      <w:r>
        <w:rPr>
          <w:rFonts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w:t>
      </w:r>
      <w:r>
        <w:rPr>
          <w:rFonts w:hint="eastAsia"/>
          <w:lang w:eastAsia="zh-CN"/>
        </w:rPr>
        <w:t>“</w:t>
      </w:r>
      <w:r>
        <w:rPr>
          <w:rFonts w:hint="eastAsia"/>
        </w:rPr>
        <w:t>较大数额罚款</w:t>
      </w:r>
      <w:r>
        <w:rPr>
          <w:rFonts w:hint="eastAsia"/>
          <w:lang w:eastAsia="zh-CN"/>
        </w:rPr>
        <w:t>”</w:t>
      </w:r>
      <w:r>
        <w:rPr>
          <w:rFonts w:hint="eastAsia"/>
        </w:rPr>
        <w:t>标准的；法律、法规、规章、国务院有关行政主管部门对</w:t>
      </w:r>
      <w:r>
        <w:rPr>
          <w:rFonts w:hint="eastAsia"/>
          <w:lang w:eastAsia="zh-CN"/>
        </w:rPr>
        <w:t>“</w:t>
      </w:r>
      <w:r>
        <w:rPr>
          <w:rFonts w:hint="eastAsia"/>
        </w:rPr>
        <w:t>较大数额罚款</w:t>
      </w:r>
      <w:r>
        <w:rPr>
          <w:rFonts w:hint="eastAsia"/>
          <w:lang w:eastAsia="zh-CN"/>
        </w:rPr>
        <w:t>”</w:t>
      </w:r>
      <w:r>
        <w:rPr>
          <w:rFonts w:hint="eastAsia"/>
        </w:rPr>
        <w:t>标准另有规定的，从其规定。（供应商如在参加政府采购活动前3年内因违法经营被禁止在一定期限内参加政府采购活动，期限届满的，可以参加政府采购活动。）</w:t>
      </w:r>
    </w:p>
    <w:p w14:paraId="2ED85310">
      <w:pPr>
        <w:pStyle w:val="204"/>
        <w:keepNext w:val="0"/>
        <w:keepLines w:val="0"/>
        <w:pageBreakBefore w:val="0"/>
        <w:widowControl w:val="0"/>
        <w:spacing w:line="360" w:lineRule="auto"/>
        <w:ind w:firstLine="480"/>
        <w:jc w:val="both"/>
      </w:pPr>
      <w:r>
        <w:rPr>
          <w:rFonts w:hint="eastAsia"/>
        </w:rPr>
        <w:t>七、我单位具备法律、行政法规规定的其他条件。</w:t>
      </w:r>
    </w:p>
    <w:p w14:paraId="538BA9E7">
      <w:pPr>
        <w:pStyle w:val="204"/>
        <w:keepNext w:val="0"/>
        <w:keepLines w:val="0"/>
        <w:pageBreakBefore w:val="0"/>
        <w:widowControl w:val="0"/>
        <w:spacing w:line="360" w:lineRule="auto"/>
        <w:ind w:firstLine="480"/>
        <w:jc w:val="both"/>
      </w:pPr>
      <w:r>
        <w:rPr>
          <w:rFonts w:hint="eastAsia"/>
        </w:rPr>
        <w:t>八、与我单位存在</w:t>
      </w:r>
      <w:r>
        <w:rPr>
          <w:rFonts w:hint="eastAsia"/>
          <w:lang w:eastAsia="zh-CN"/>
        </w:rPr>
        <w:t>“</w:t>
      </w:r>
      <w:r>
        <w:rPr>
          <w:rFonts w:hint="eastAsia"/>
        </w:rPr>
        <w:t>单位负责人为同一人或者存在直接控股、管理关系</w:t>
      </w:r>
      <w:r>
        <w:rPr>
          <w:rFonts w:hint="eastAsia"/>
          <w:lang w:eastAsia="zh-CN"/>
        </w:rPr>
        <w:t>”</w:t>
      </w:r>
      <w:r>
        <w:rPr>
          <w:rFonts w:hint="eastAsia"/>
        </w:rPr>
        <w:t>的其他单位信息如下（如无此情形的，填写</w:t>
      </w:r>
      <w:r>
        <w:rPr>
          <w:rFonts w:hint="eastAsia"/>
          <w:lang w:eastAsia="zh-CN"/>
        </w:rPr>
        <w:t>“</w:t>
      </w:r>
      <w:r>
        <w:rPr>
          <w:rFonts w:hint="eastAsia"/>
        </w:rPr>
        <w:t>无</w:t>
      </w:r>
      <w:r>
        <w:rPr>
          <w:rFonts w:hint="eastAsia"/>
          <w:lang w:eastAsia="zh-CN"/>
        </w:rPr>
        <w:t>”</w:t>
      </w:r>
      <w:r>
        <w:rPr>
          <w:rFonts w:hint="eastAsia"/>
        </w:rPr>
        <w:t>）：</w:t>
      </w:r>
    </w:p>
    <w:p w14:paraId="39F66D6C">
      <w:pPr>
        <w:pStyle w:val="204"/>
        <w:keepNext w:val="0"/>
        <w:keepLines w:val="0"/>
        <w:pageBreakBefore w:val="0"/>
        <w:widowControl w:val="0"/>
        <w:spacing w:line="360" w:lineRule="auto"/>
        <w:ind w:firstLine="480"/>
        <w:jc w:val="both"/>
      </w:pPr>
      <w:r>
        <w:rPr>
          <w:rFonts w:hint="eastAsia"/>
        </w:rPr>
        <w:t>1、与我单位的法定代表人（单位负责人）为同一人的其他单位如下：</w:t>
      </w:r>
      <w:r>
        <w:rPr>
          <w:rFonts w:hint="eastAsia"/>
          <w:u w:val="single"/>
        </w:rPr>
        <w:t xml:space="preserve">     </w:t>
      </w:r>
      <w:r>
        <w:rPr>
          <w:rFonts w:hint="eastAsia"/>
        </w:rPr>
        <w:t xml:space="preserve">          </w:t>
      </w:r>
    </w:p>
    <w:p w14:paraId="466823FB">
      <w:pPr>
        <w:pStyle w:val="204"/>
        <w:keepNext w:val="0"/>
        <w:keepLines w:val="0"/>
        <w:pageBreakBefore w:val="0"/>
        <w:widowControl w:val="0"/>
        <w:spacing w:line="360" w:lineRule="auto"/>
        <w:ind w:firstLine="480"/>
        <w:jc w:val="both"/>
      </w:pPr>
      <w:r>
        <w:rPr>
          <w:rFonts w:hint="eastAsia"/>
        </w:rPr>
        <w:t>2、我单位直接控股的其他单位如下：</w:t>
      </w:r>
      <w:r>
        <w:rPr>
          <w:rFonts w:hint="eastAsia"/>
          <w:u w:val="single"/>
        </w:rPr>
        <w:t xml:space="preserve">                    </w:t>
      </w:r>
      <w:r>
        <w:rPr>
          <w:rFonts w:hint="eastAsia"/>
        </w:rPr>
        <w:t xml:space="preserve"> </w:t>
      </w:r>
    </w:p>
    <w:p w14:paraId="417C3E8B">
      <w:pPr>
        <w:pStyle w:val="204"/>
        <w:keepNext w:val="0"/>
        <w:keepLines w:val="0"/>
        <w:pageBreakBefore w:val="0"/>
        <w:widowControl w:val="0"/>
        <w:spacing w:line="360" w:lineRule="auto"/>
        <w:ind w:firstLine="480"/>
        <w:jc w:val="both"/>
      </w:pPr>
      <w:r>
        <w:rPr>
          <w:rFonts w:hint="eastAsia"/>
        </w:rPr>
        <w:t>3、与我单位存在管理关系的其他单位如下：</w:t>
      </w:r>
      <w:r>
        <w:rPr>
          <w:rFonts w:hint="eastAsia"/>
          <w:u w:val="single"/>
        </w:rPr>
        <w:t xml:space="preserve">              </w:t>
      </w:r>
      <w:r>
        <w:rPr>
          <w:rFonts w:hint="eastAsia"/>
        </w:rPr>
        <w:t xml:space="preserve"> </w:t>
      </w:r>
    </w:p>
    <w:p w14:paraId="67B0B7C0">
      <w:pPr>
        <w:pStyle w:val="204"/>
        <w:keepNext w:val="0"/>
        <w:keepLines w:val="0"/>
        <w:pageBreakBefore w:val="0"/>
        <w:widowControl w:val="0"/>
        <w:spacing w:line="360" w:lineRule="auto"/>
        <w:ind w:firstLine="480"/>
        <w:jc w:val="both"/>
      </w:pPr>
      <w:r>
        <w:rPr>
          <w:rFonts w:hint="eastAsia"/>
        </w:rPr>
        <w:t>九、</w:t>
      </w:r>
      <w:r>
        <w:t>我</w:t>
      </w:r>
      <w:r>
        <w:rPr>
          <w:rFonts w:hint="eastAsia"/>
        </w:rPr>
        <w:t>单位</w:t>
      </w:r>
      <w:r>
        <w:t>不属于为本项目提供整体设计、规范编制或者项目管理、监理、检测等服务的供应商。</w:t>
      </w:r>
    </w:p>
    <w:p w14:paraId="043FEEC8">
      <w:pPr>
        <w:pStyle w:val="204"/>
        <w:keepNext w:val="0"/>
        <w:keepLines w:val="0"/>
        <w:pageBreakBefore w:val="0"/>
        <w:widowControl w:val="0"/>
        <w:spacing w:line="360" w:lineRule="auto"/>
        <w:ind w:firstLine="480"/>
        <w:jc w:val="both"/>
      </w:pPr>
      <w:r>
        <w:rPr>
          <w:rFonts w:hint="eastAsia"/>
        </w:rPr>
        <w:t>十、</w:t>
      </w:r>
      <w:r>
        <w:t>我单位无以下不良信用记录情形：</w:t>
      </w:r>
    </w:p>
    <w:p w14:paraId="64869C61">
      <w:pPr>
        <w:pStyle w:val="204"/>
        <w:keepNext w:val="0"/>
        <w:keepLines w:val="0"/>
        <w:pageBreakBefore w:val="0"/>
        <w:widowControl w:val="0"/>
        <w:spacing w:line="360" w:lineRule="auto"/>
        <w:ind w:firstLine="480"/>
        <w:jc w:val="both"/>
      </w:pPr>
      <w:r>
        <w:t>1</w:t>
      </w:r>
      <w:r>
        <w:rPr>
          <w:rFonts w:hint="eastAsia"/>
        </w:rPr>
        <w:t>、在</w:t>
      </w:r>
      <w:r>
        <w:rPr>
          <w:rFonts w:hint="eastAsia"/>
          <w:lang w:eastAsia="zh-CN"/>
        </w:rPr>
        <w:t>“</w:t>
      </w:r>
      <w:r>
        <w:rPr>
          <w:rFonts w:hint="eastAsia"/>
        </w:rPr>
        <w:t>信用中国</w:t>
      </w:r>
      <w:r>
        <w:rPr>
          <w:rFonts w:hint="eastAsia"/>
          <w:lang w:eastAsia="zh-CN"/>
        </w:rPr>
        <w:t>”</w:t>
      </w:r>
      <w:r>
        <w:rPr>
          <w:rFonts w:hint="eastAsia"/>
        </w:rPr>
        <w:t>网站被列入失信被执行人和重大税收违法案件当事人名单；</w:t>
      </w:r>
    </w:p>
    <w:p w14:paraId="3E6BE1CF">
      <w:pPr>
        <w:pStyle w:val="204"/>
        <w:keepNext w:val="0"/>
        <w:keepLines w:val="0"/>
        <w:pageBreakBefore w:val="0"/>
        <w:widowControl w:val="0"/>
        <w:spacing w:line="360" w:lineRule="auto"/>
        <w:ind w:firstLine="480"/>
        <w:jc w:val="both"/>
      </w:pPr>
      <w:r>
        <w:t>2</w:t>
      </w:r>
      <w:r>
        <w:rPr>
          <w:rFonts w:hint="eastAsia"/>
        </w:rPr>
        <w:t>、在</w:t>
      </w:r>
      <w:r>
        <w:rPr>
          <w:rFonts w:hint="eastAsia"/>
          <w:lang w:eastAsia="zh-CN"/>
        </w:rPr>
        <w:t>“</w:t>
      </w:r>
      <w:r>
        <w:rPr>
          <w:rFonts w:hint="eastAsia"/>
        </w:rPr>
        <w:t>中国政府采购网</w:t>
      </w:r>
      <w:r>
        <w:rPr>
          <w:rFonts w:hint="eastAsia"/>
          <w:lang w:eastAsia="zh-CN"/>
        </w:rPr>
        <w:t>”</w:t>
      </w:r>
      <w:r>
        <w:rPr>
          <w:rFonts w:hint="eastAsia"/>
        </w:rPr>
        <w:t>网站被列入政府采购严重违法失信行为记录名单；</w:t>
      </w:r>
    </w:p>
    <w:p w14:paraId="7EF8C128">
      <w:pPr>
        <w:pStyle w:val="204"/>
        <w:keepNext w:val="0"/>
        <w:keepLines w:val="0"/>
        <w:pageBreakBefore w:val="0"/>
        <w:widowControl w:val="0"/>
        <w:spacing w:line="360" w:lineRule="auto"/>
        <w:ind w:firstLine="480"/>
        <w:jc w:val="both"/>
      </w:pPr>
      <w:r>
        <w:t>3</w:t>
      </w:r>
      <w:r>
        <w:rPr>
          <w:rFonts w:hint="eastAsia"/>
        </w:rPr>
        <w:t>、</w:t>
      </w:r>
      <w:r>
        <w:t>不符合《政府采购法》第二十二条规定的条件。</w:t>
      </w:r>
    </w:p>
    <w:p w14:paraId="3E1F3FD7">
      <w:pPr>
        <w:pStyle w:val="204"/>
        <w:keepNext w:val="0"/>
        <w:keepLines w:val="0"/>
        <w:pageBreakBefore w:val="0"/>
        <w:widowControl w:val="0"/>
        <w:spacing w:line="360" w:lineRule="auto"/>
        <w:ind w:firstLine="480"/>
        <w:jc w:val="both"/>
      </w:pPr>
    </w:p>
    <w:p w14:paraId="14D7622C">
      <w:pPr>
        <w:pStyle w:val="204"/>
        <w:keepNext w:val="0"/>
        <w:keepLines w:val="0"/>
        <w:pageBreakBefore w:val="0"/>
        <w:widowControl w:val="0"/>
        <w:spacing w:line="360" w:lineRule="auto"/>
        <w:ind w:firstLine="480"/>
        <w:jc w:val="both"/>
      </w:pPr>
      <w:r>
        <w:rPr>
          <w:rFonts w:hint="eastAsia"/>
        </w:rPr>
        <w:t>我单位保证上述声明的事项都是真实的，如有虚假，我单位愿意承担相应的法律责任，并承担因此所造成的一切损失。</w:t>
      </w:r>
    </w:p>
    <w:p w14:paraId="07376DE3">
      <w:pPr>
        <w:pStyle w:val="204"/>
        <w:spacing w:line="460" w:lineRule="exact"/>
        <w:ind w:firstLine="480"/>
      </w:pPr>
    </w:p>
    <w:p w14:paraId="66961476">
      <w:pPr>
        <w:pStyle w:val="204"/>
        <w:spacing w:line="460" w:lineRule="exact"/>
        <w:ind w:firstLine="480"/>
      </w:pPr>
    </w:p>
    <w:p w14:paraId="5F6F7C40">
      <w:pPr>
        <w:pStyle w:val="204"/>
        <w:spacing w:line="460" w:lineRule="exact"/>
        <w:ind w:firstLine="480"/>
      </w:pPr>
      <w:r>
        <w:rPr>
          <w:rFonts w:hint="eastAsia"/>
        </w:rPr>
        <w:t>                                            供应商：（加盖公章）</w:t>
      </w:r>
    </w:p>
    <w:p w14:paraId="53525898">
      <w:pPr>
        <w:pStyle w:val="204"/>
        <w:spacing w:line="460" w:lineRule="exact"/>
        <w:ind w:firstLine="480"/>
      </w:pPr>
      <w:r>
        <w:rPr>
          <w:rFonts w:hint="eastAsia"/>
        </w:rPr>
        <w:t>                                           法定代表人（或单位负责人）签字或盖章：</w:t>
      </w:r>
    </w:p>
    <w:p w14:paraId="0E4FB7BF">
      <w:pPr>
        <w:pStyle w:val="204"/>
        <w:spacing w:line="460" w:lineRule="exact"/>
        <w:ind w:firstLine="4920"/>
        <w:rPr>
          <w:rFonts w:hint="eastAsia"/>
        </w:rPr>
      </w:pPr>
      <w:r>
        <w:rPr>
          <w:rFonts w:hint="eastAsia"/>
        </w:rPr>
        <w:t>日期：    年    月    日</w:t>
      </w:r>
    </w:p>
    <w:p w14:paraId="2FC52ACA">
      <w:pPr>
        <w:spacing w:line="360" w:lineRule="auto"/>
        <w:rPr>
          <w:rFonts w:hint="eastAsia"/>
          <w:sz w:val="24"/>
        </w:rPr>
      </w:pPr>
    </w:p>
    <w:p w14:paraId="5FFA67F3">
      <w:pPr>
        <w:spacing w:line="360" w:lineRule="auto"/>
        <w:rPr>
          <w:rFonts w:hint="eastAsia"/>
          <w:sz w:val="24"/>
        </w:rPr>
      </w:pPr>
    </w:p>
    <w:p w14:paraId="7DFF3599">
      <w:pPr>
        <w:spacing w:line="360" w:lineRule="auto"/>
        <w:rPr>
          <w:rFonts w:hint="eastAsia"/>
          <w:sz w:val="24"/>
        </w:rPr>
      </w:pPr>
    </w:p>
    <w:p w14:paraId="227E4814">
      <w:pPr>
        <w:spacing w:line="360" w:lineRule="auto"/>
        <w:rPr>
          <w:rFonts w:hint="eastAsia"/>
          <w:sz w:val="24"/>
          <w:lang w:eastAsia="zh-CN"/>
        </w:rPr>
      </w:pPr>
      <w:r>
        <w:rPr>
          <w:sz w:val="24"/>
        </w:rPr>
        <w:t>说明：</w:t>
      </w:r>
      <w:r>
        <w:rPr>
          <w:rFonts w:hint="eastAsia"/>
          <w:sz w:val="24"/>
        </w:rPr>
        <w:t>供应商承诺不实的，依据《政府采购法》第七十七条</w:t>
      </w:r>
      <w:r>
        <w:rPr>
          <w:rFonts w:hint="eastAsia"/>
          <w:sz w:val="24"/>
          <w:lang w:eastAsia="zh-CN"/>
        </w:rPr>
        <w:t>“</w:t>
      </w:r>
      <w:r>
        <w:rPr>
          <w:rFonts w:hint="eastAsia"/>
          <w:sz w:val="24"/>
        </w:rPr>
        <w:t>提供虚假材料谋取中标、成交的</w:t>
      </w:r>
      <w:r>
        <w:rPr>
          <w:rFonts w:hint="eastAsia"/>
          <w:sz w:val="24"/>
          <w:lang w:eastAsia="zh-CN"/>
        </w:rPr>
        <w:t>”</w:t>
      </w:r>
      <w:r>
        <w:rPr>
          <w:rFonts w:hint="eastAsia"/>
          <w:sz w:val="24"/>
        </w:rPr>
        <w:t>有关规定予以处理</w:t>
      </w:r>
      <w:r>
        <w:rPr>
          <w:rFonts w:hint="eastAsia"/>
          <w:sz w:val="24"/>
          <w:lang w:eastAsia="zh-CN"/>
        </w:rPr>
        <w:t>。</w:t>
      </w:r>
    </w:p>
    <w:p w14:paraId="0A169429">
      <w:pPr>
        <w:pStyle w:val="184"/>
        <w:rPr>
          <w:rFonts w:hint="eastAsia"/>
          <w:sz w:val="24"/>
          <w:lang w:eastAsia="zh-CN"/>
        </w:rPr>
      </w:pPr>
    </w:p>
    <w:p w14:paraId="728BE7DA">
      <w:pPr>
        <w:pStyle w:val="204"/>
        <w:rPr>
          <w:rFonts w:hint="eastAsia"/>
          <w:sz w:val="24"/>
          <w:lang w:eastAsia="zh-CN"/>
        </w:rPr>
      </w:pPr>
    </w:p>
    <w:p w14:paraId="46047D0E">
      <w:pPr>
        <w:rPr>
          <w:rFonts w:hint="eastAsia"/>
          <w:sz w:val="24"/>
          <w:lang w:eastAsia="zh-CN"/>
        </w:rPr>
      </w:pPr>
    </w:p>
    <w:p w14:paraId="34EADDEE">
      <w:pPr>
        <w:pStyle w:val="184"/>
        <w:rPr>
          <w:rFonts w:hint="eastAsia"/>
          <w:sz w:val="24"/>
          <w:lang w:eastAsia="zh-CN"/>
        </w:rPr>
      </w:pPr>
    </w:p>
    <w:p w14:paraId="74787946">
      <w:pPr>
        <w:pStyle w:val="204"/>
        <w:rPr>
          <w:rFonts w:hint="eastAsia"/>
          <w:sz w:val="24"/>
          <w:lang w:eastAsia="zh-CN"/>
        </w:rPr>
      </w:pPr>
    </w:p>
    <w:p w14:paraId="5E4CCABD">
      <w:pPr>
        <w:rPr>
          <w:rFonts w:hint="eastAsia"/>
          <w:sz w:val="24"/>
          <w:lang w:eastAsia="zh-CN"/>
        </w:rPr>
      </w:pPr>
    </w:p>
    <w:p w14:paraId="25CE0008">
      <w:pPr>
        <w:pStyle w:val="184"/>
        <w:rPr>
          <w:rFonts w:hint="eastAsia"/>
          <w:sz w:val="24"/>
          <w:lang w:eastAsia="zh-CN"/>
        </w:rPr>
      </w:pPr>
    </w:p>
    <w:p w14:paraId="22A90AA6">
      <w:pPr>
        <w:pStyle w:val="204"/>
        <w:rPr>
          <w:rFonts w:hint="eastAsia"/>
          <w:sz w:val="24"/>
          <w:lang w:eastAsia="zh-CN"/>
        </w:rPr>
      </w:pPr>
    </w:p>
    <w:p w14:paraId="025D6B7D">
      <w:pPr>
        <w:pStyle w:val="204"/>
        <w:ind w:left="0" w:firstLine="0"/>
        <w:rPr>
          <w:rFonts w:hint="eastAsia"/>
          <w:sz w:val="24"/>
          <w:lang w:eastAsia="zh-CN"/>
        </w:rPr>
      </w:pPr>
    </w:p>
    <w:p w14:paraId="42DD84C8">
      <w:pPr>
        <w:spacing w:line="360" w:lineRule="auto"/>
        <w:outlineLvl w:val="2"/>
        <w:rPr>
          <w:color w:val="000000"/>
          <w:sz w:val="24"/>
          <w:szCs w:val="20"/>
        </w:rPr>
      </w:pPr>
      <w:r>
        <w:rPr>
          <w:color w:val="000000"/>
          <w:sz w:val="24"/>
          <w:szCs w:val="20"/>
        </w:rPr>
        <w:br w:type="page" w:clear="all"/>
      </w:r>
      <w:r>
        <w:rPr>
          <w:color w:val="000000"/>
          <w:sz w:val="24"/>
          <w:szCs w:val="20"/>
        </w:rPr>
        <w:t>2 落实政府采购政策需满足的资格要求</w:t>
      </w:r>
    </w:p>
    <w:p w14:paraId="6FDB544E">
      <w:pPr>
        <w:spacing w:line="360" w:lineRule="auto"/>
        <w:outlineLvl w:val="2"/>
        <w:rPr>
          <w:color w:val="000000"/>
          <w:sz w:val="24"/>
          <w:szCs w:val="20"/>
        </w:rPr>
      </w:pPr>
      <w:r>
        <w:rPr>
          <w:color w:val="000000"/>
          <w:sz w:val="24"/>
          <w:szCs w:val="20"/>
        </w:rPr>
        <w:t>2-1 中小企业声明函</w:t>
      </w:r>
      <w:r>
        <w:rPr>
          <w:sz w:val="24"/>
          <w:szCs w:val="20"/>
        </w:rPr>
        <w:t>（实质性格式）</w:t>
      </w:r>
    </w:p>
    <w:p w14:paraId="3D9510F2">
      <w:pPr>
        <w:tabs>
          <w:tab w:val="left" w:pos="5580"/>
        </w:tabs>
        <w:spacing w:line="360" w:lineRule="auto"/>
        <w:rPr>
          <w:sz w:val="24"/>
        </w:rPr>
      </w:pPr>
    </w:p>
    <w:p w14:paraId="177A1703">
      <w:pPr>
        <w:tabs>
          <w:tab w:val="left" w:pos="5580"/>
        </w:tabs>
        <w:spacing w:line="360" w:lineRule="auto"/>
        <w:rPr>
          <w:sz w:val="24"/>
        </w:rPr>
      </w:pPr>
      <w:r>
        <w:rPr>
          <w:sz w:val="24"/>
        </w:rPr>
        <w:t>说明：</w:t>
      </w:r>
    </w:p>
    <w:p w14:paraId="7843C8B0">
      <w:pPr>
        <w:tabs>
          <w:tab w:val="left" w:pos="5580"/>
        </w:tabs>
        <w:spacing w:line="360" w:lineRule="auto"/>
        <w:rPr>
          <w:sz w:val="24"/>
        </w:rPr>
      </w:pPr>
      <w:r>
        <w:rPr>
          <w:sz w:val="24"/>
        </w:rPr>
        <w:t>（1）如本项目（包）专门面向中小/小微企业采购，须提供《中小企业声明函》</w:t>
      </w:r>
      <w:r>
        <w:rPr>
          <w:color w:val="000000"/>
          <w:sz w:val="24"/>
          <w:szCs w:val="20"/>
        </w:rPr>
        <w:t>（实质性格式）</w:t>
      </w:r>
      <w:r>
        <w:rPr>
          <w:sz w:val="24"/>
        </w:rPr>
        <w:t>。</w:t>
      </w:r>
    </w:p>
    <w:p w14:paraId="09313F1A">
      <w:pPr>
        <w:spacing w:line="360" w:lineRule="auto"/>
        <w:outlineLvl w:val="2"/>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w:t>
      </w:r>
      <w:r>
        <w:rPr>
          <w:rFonts w:hint="eastAsia" w:ascii="Times New Roman" w:hAnsi="Times New Roman" w:eastAsia="宋体" w:cs="Times New Roman"/>
          <w:color w:val="000000"/>
          <w:sz w:val="24"/>
          <w:szCs w:val="20"/>
          <w:lang w:val="en-US" w:eastAsia="zh-CN"/>
        </w:rPr>
        <w:t>2</w:t>
      </w:r>
      <w:r>
        <w:rPr>
          <w:rFonts w:ascii="Times New Roman" w:hAnsi="Times New Roman" w:eastAsia="宋体" w:cs="Times New Roman"/>
          <w:color w:val="000000"/>
          <w:sz w:val="24"/>
          <w:szCs w:val="20"/>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3B02FE5D">
      <w:pPr>
        <w:pStyle w:val="184"/>
        <w:rPr>
          <w:rFonts w:ascii="Times New Roman" w:hAnsi="Times New Roman" w:eastAsia="宋体" w:cs="Times New Roman"/>
          <w:color w:val="000000"/>
          <w:sz w:val="24"/>
          <w:szCs w:val="20"/>
        </w:rPr>
      </w:pPr>
    </w:p>
    <w:p w14:paraId="04F6D8D9">
      <w:pPr>
        <w:pStyle w:val="204"/>
        <w:rPr>
          <w:rFonts w:ascii="Times New Roman" w:hAnsi="Times New Roman" w:eastAsia="宋体" w:cs="Times New Roman"/>
          <w:color w:val="000000"/>
          <w:sz w:val="24"/>
          <w:szCs w:val="20"/>
        </w:rPr>
      </w:pPr>
    </w:p>
    <w:p w14:paraId="105F7BF2">
      <w:pPr>
        <w:rPr>
          <w:rFonts w:ascii="Times New Roman" w:hAnsi="Times New Roman" w:eastAsia="宋体" w:cs="Times New Roman"/>
          <w:color w:val="000000"/>
          <w:sz w:val="24"/>
          <w:szCs w:val="20"/>
        </w:rPr>
      </w:pPr>
    </w:p>
    <w:p w14:paraId="236351A7">
      <w:pPr>
        <w:pStyle w:val="184"/>
        <w:rPr>
          <w:rFonts w:ascii="Times New Roman" w:hAnsi="Times New Roman" w:eastAsia="宋体" w:cs="Times New Roman"/>
          <w:color w:val="000000"/>
          <w:sz w:val="24"/>
          <w:szCs w:val="20"/>
        </w:rPr>
      </w:pPr>
    </w:p>
    <w:p w14:paraId="5945F4C3">
      <w:pPr>
        <w:pStyle w:val="204"/>
        <w:rPr>
          <w:rFonts w:ascii="Times New Roman" w:hAnsi="Times New Roman" w:eastAsia="宋体" w:cs="Times New Roman"/>
          <w:color w:val="000000"/>
          <w:sz w:val="24"/>
          <w:szCs w:val="20"/>
        </w:rPr>
      </w:pPr>
    </w:p>
    <w:p w14:paraId="3779103A">
      <w:pPr>
        <w:rPr>
          <w:rFonts w:ascii="Times New Roman" w:hAnsi="Times New Roman" w:eastAsia="宋体" w:cs="Times New Roman"/>
          <w:color w:val="000000"/>
          <w:sz w:val="24"/>
          <w:szCs w:val="20"/>
        </w:rPr>
      </w:pPr>
    </w:p>
    <w:p w14:paraId="7D1CFCB0">
      <w:pPr>
        <w:rPr>
          <w:rFonts w:ascii="Times New Roman" w:hAnsi="Times New Roman" w:eastAsia="宋体" w:cs="Times New Roman"/>
          <w:color w:val="000000"/>
          <w:sz w:val="24"/>
          <w:szCs w:val="20"/>
        </w:rPr>
      </w:pPr>
    </w:p>
    <w:p w14:paraId="5869C36E">
      <w:pPr>
        <w:pStyle w:val="184"/>
        <w:rPr>
          <w:rFonts w:ascii="Times New Roman" w:hAnsi="Times New Roman" w:eastAsia="宋体" w:cs="Times New Roman"/>
          <w:color w:val="000000"/>
          <w:sz w:val="24"/>
          <w:szCs w:val="20"/>
        </w:rPr>
      </w:pPr>
    </w:p>
    <w:p w14:paraId="3FD8DBF6">
      <w:pPr>
        <w:spacing w:before="240" w:after="240" w:line="360" w:lineRule="auto"/>
        <w:jc w:val="center"/>
        <w:rPr>
          <w:b/>
          <w:bCs/>
          <w:color w:val="000000"/>
          <w:sz w:val="36"/>
          <w:szCs w:val="36"/>
        </w:rPr>
      </w:pPr>
      <w:r>
        <w:rPr>
          <w:rFonts w:hint="eastAsia"/>
          <w:b/>
          <w:bCs/>
          <w:color w:val="000000"/>
          <w:sz w:val="36"/>
          <w:szCs w:val="36"/>
        </w:rPr>
        <w:br w:type="page" w:clear="all"/>
      </w:r>
      <w:r>
        <w:rPr>
          <w:rFonts w:hint="eastAsia"/>
          <w:b/>
          <w:bCs/>
          <w:color w:val="000000"/>
          <w:sz w:val="36"/>
          <w:szCs w:val="36"/>
        </w:rPr>
        <w:t>中小企业声明函（工程、服务）格式</w:t>
      </w:r>
    </w:p>
    <w:p w14:paraId="2740CF99">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D3FE305">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3574029">
      <w:pPr>
        <w:spacing w:line="360" w:lineRule="auto"/>
        <w:ind w:firstLine="504"/>
        <w:rPr>
          <w:spacing w:val="6"/>
          <w:sz w:val="24"/>
        </w:rPr>
      </w:pPr>
    </w:p>
    <w:p w14:paraId="4C259FF5">
      <w:pPr>
        <w:spacing w:line="360" w:lineRule="auto"/>
        <w:ind w:firstLine="504"/>
        <w:rPr>
          <w:spacing w:val="6"/>
          <w:sz w:val="24"/>
        </w:rPr>
      </w:pPr>
      <w:r>
        <w:rPr>
          <w:spacing w:val="6"/>
          <w:sz w:val="24"/>
        </w:rPr>
        <w:t>……</w:t>
      </w:r>
    </w:p>
    <w:p w14:paraId="0DE96D83">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26A26BA">
      <w:pPr>
        <w:spacing w:line="360" w:lineRule="auto"/>
        <w:ind w:firstLine="504"/>
        <w:rPr>
          <w:spacing w:val="6"/>
          <w:sz w:val="24"/>
        </w:rPr>
      </w:pPr>
      <w:r>
        <w:rPr>
          <w:spacing w:val="6"/>
          <w:sz w:val="24"/>
        </w:rPr>
        <w:t>本企业对上述声明内容的真实性负责。如有虚假，将依法承担相应责任。</w:t>
      </w:r>
    </w:p>
    <w:p w14:paraId="757668AB">
      <w:pPr>
        <w:spacing w:line="360" w:lineRule="auto"/>
        <w:ind w:right="360" w:firstLine="480"/>
        <w:jc w:val="right"/>
        <w:rPr>
          <w:color w:val="000000"/>
          <w:sz w:val="24"/>
        </w:rPr>
      </w:pPr>
    </w:p>
    <w:p w14:paraId="2DAA665A">
      <w:pPr>
        <w:spacing w:line="360" w:lineRule="auto"/>
        <w:ind w:right="360" w:firstLine="480"/>
        <w:jc w:val="right"/>
        <w:rPr>
          <w:color w:val="000000"/>
          <w:sz w:val="24"/>
        </w:rPr>
      </w:pPr>
      <w:r>
        <w:rPr>
          <w:color w:val="000000"/>
          <w:sz w:val="24"/>
        </w:rPr>
        <w:t>企业名称（加盖公章）：________</w:t>
      </w:r>
    </w:p>
    <w:p w14:paraId="494754C0">
      <w:pPr>
        <w:spacing w:line="360" w:lineRule="auto"/>
        <w:ind w:right="360" w:firstLine="480"/>
        <w:jc w:val="right"/>
        <w:rPr>
          <w:color w:val="000000"/>
          <w:sz w:val="24"/>
        </w:rPr>
      </w:pPr>
      <w:r>
        <w:rPr>
          <w:color w:val="000000"/>
          <w:sz w:val="24"/>
        </w:rPr>
        <w:t>日 期：________</w:t>
      </w:r>
    </w:p>
    <w:p w14:paraId="4EA7E9B6">
      <w:pPr>
        <w:jc w:val="left"/>
        <w:rPr>
          <w:color w:val="000000"/>
          <w:sz w:val="24"/>
          <w:szCs w:val="21"/>
        </w:rPr>
      </w:pPr>
    </w:p>
    <w:p w14:paraId="39EB738A">
      <w:pPr>
        <w:jc w:val="left"/>
        <w:rPr>
          <w:color w:val="000000"/>
          <w:sz w:val="24"/>
          <w:szCs w:val="21"/>
        </w:rPr>
      </w:pPr>
    </w:p>
    <w:tbl>
      <w:tblPr>
        <w:tblStyle w:val="2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5FB4D912">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221D63D1">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8CD035F">
      <w:pPr>
        <w:pStyle w:val="204"/>
        <w:rPr>
          <w:rFonts w:hint="eastAsia"/>
          <w:lang w:eastAsia="zh-CN"/>
        </w:rPr>
      </w:pPr>
    </w:p>
    <w:p w14:paraId="3E675C3E">
      <w:pPr>
        <w:rPr>
          <w:rFonts w:hint="eastAsia"/>
          <w:lang w:eastAsia="zh-CN"/>
        </w:rPr>
      </w:pPr>
    </w:p>
    <w:p w14:paraId="111CE55D">
      <w:pPr>
        <w:pStyle w:val="184"/>
        <w:rPr>
          <w:rFonts w:hint="eastAsia"/>
          <w:lang w:eastAsia="zh-CN"/>
        </w:rPr>
      </w:pPr>
    </w:p>
    <w:p w14:paraId="359C32A3">
      <w:pPr>
        <w:pStyle w:val="204"/>
        <w:rPr>
          <w:rFonts w:hint="eastAsia"/>
          <w:lang w:eastAsia="zh-CN"/>
        </w:rPr>
      </w:pPr>
    </w:p>
    <w:p w14:paraId="69018E83">
      <w:pPr>
        <w:rPr>
          <w:rFonts w:hint="eastAsia"/>
          <w:lang w:eastAsia="zh-CN"/>
        </w:rPr>
      </w:pPr>
    </w:p>
    <w:p w14:paraId="348043DC">
      <w:pPr>
        <w:pStyle w:val="184"/>
        <w:rPr>
          <w:rFonts w:hint="eastAsia"/>
          <w:lang w:eastAsia="zh-CN"/>
        </w:rPr>
      </w:pPr>
    </w:p>
    <w:p w14:paraId="2FA89FDB">
      <w:pPr>
        <w:pStyle w:val="204"/>
        <w:rPr>
          <w:rFonts w:hint="eastAsia"/>
          <w:lang w:eastAsia="zh-CN"/>
        </w:rPr>
      </w:pPr>
    </w:p>
    <w:p w14:paraId="5FF5E8ED">
      <w:pPr>
        <w:rPr>
          <w:rFonts w:hint="eastAsia"/>
          <w:lang w:eastAsia="zh-CN"/>
        </w:rPr>
      </w:pPr>
    </w:p>
    <w:p w14:paraId="2A16990D">
      <w:pPr>
        <w:pStyle w:val="184"/>
        <w:rPr>
          <w:rFonts w:hint="eastAsia"/>
          <w:lang w:eastAsia="zh-CN"/>
        </w:rPr>
      </w:pPr>
    </w:p>
    <w:p w14:paraId="33079A16">
      <w:pPr>
        <w:jc w:val="center"/>
        <w:rPr>
          <w:b/>
          <w:color w:val="000000"/>
          <w:sz w:val="36"/>
          <w:szCs w:val="36"/>
        </w:rPr>
      </w:pPr>
      <w:r>
        <w:rPr>
          <w:rFonts w:hint="eastAsia"/>
          <w:b/>
          <w:color w:val="000000"/>
          <w:sz w:val="36"/>
          <w:szCs w:val="36"/>
        </w:rPr>
        <w:br w:type="page" w:clear="all"/>
      </w:r>
      <w:r>
        <w:rPr>
          <w:rFonts w:hint="eastAsia"/>
          <w:b/>
          <w:color w:val="000000"/>
          <w:sz w:val="36"/>
          <w:szCs w:val="36"/>
        </w:rPr>
        <w:t>残疾人福利性单位声明函格式</w:t>
      </w:r>
      <w:r>
        <w:rPr>
          <w:b/>
          <w:color w:val="000000"/>
          <w:sz w:val="36"/>
          <w:szCs w:val="36"/>
        </w:rPr>
        <w:t xml:space="preserve">       </w:t>
      </w:r>
    </w:p>
    <w:p w14:paraId="00805BA0">
      <w:pPr>
        <w:jc w:val="center"/>
        <w:rPr>
          <w:color w:val="000000"/>
          <w:sz w:val="36"/>
          <w:szCs w:val="36"/>
        </w:rPr>
      </w:pPr>
    </w:p>
    <w:p w14:paraId="2835804A">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7997EFB9">
      <w:pPr>
        <w:spacing w:line="588" w:lineRule="exact"/>
        <w:ind w:firstLine="482"/>
        <w:rPr>
          <w:b/>
          <w:spacing w:val="6"/>
          <w:sz w:val="24"/>
        </w:rPr>
      </w:pPr>
      <w:r>
        <w:rPr>
          <w:b/>
          <w:sz w:val="24"/>
        </w:rPr>
        <w:t>□</w:t>
      </w:r>
      <w:r>
        <w:rPr>
          <w:b/>
          <w:spacing w:val="6"/>
          <w:sz w:val="24"/>
        </w:rPr>
        <w:t>不属于符合条件的残疾人福利性单位。</w:t>
      </w:r>
    </w:p>
    <w:p w14:paraId="4A4EB4AC">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46C846BE">
      <w:pPr>
        <w:spacing w:line="588" w:lineRule="exact"/>
        <w:ind w:firstLine="506"/>
        <w:rPr>
          <w:spacing w:val="6"/>
          <w:sz w:val="24"/>
        </w:rPr>
      </w:pPr>
      <w:r>
        <w:rPr>
          <w:b/>
          <w:spacing w:val="6"/>
          <w:sz w:val="24"/>
        </w:rPr>
        <w:t>本单位对上述声明的真实性负责。如有虚假，将依法承担相应责任。</w:t>
      </w:r>
    </w:p>
    <w:p w14:paraId="6291D528">
      <w:pPr>
        <w:spacing w:line="588" w:lineRule="exact"/>
        <w:ind w:firstLine="504"/>
        <w:rPr>
          <w:spacing w:val="6"/>
          <w:sz w:val="24"/>
        </w:rPr>
      </w:pPr>
    </w:p>
    <w:p w14:paraId="390E045F">
      <w:pPr>
        <w:spacing w:line="588" w:lineRule="exact"/>
        <w:ind w:firstLine="504"/>
        <w:rPr>
          <w:spacing w:val="6"/>
          <w:sz w:val="24"/>
        </w:rPr>
      </w:pPr>
    </w:p>
    <w:p w14:paraId="13BD26BB">
      <w:pPr>
        <w:tabs>
          <w:tab w:val="left" w:pos="4860"/>
        </w:tabs>
        <w:spacing w:line="588" w:lineRule="exact"/>
        <w:ind w:right="1560" w:firstLine="504"/>
        <w:jc w:val="center"/>
        <w:rPr>
          <w:spacing w:val="6"/>
          <w:sz w:val="24"/>
        </w:rPr>
      </w:pPr>
      <w:r>
        <w:rPr>
          <w:spacing w:val="6"/>
          <w:sz w:val="24"/>
        </w:rPr>
        <w:t xml:space="preserve">               单位名称（盖章）：</w:t>
      </w:r>
    </w:p>
    <w:p w14:paraId="56AACE89">
      <w:pPr>
        <w:tabs>
          <w:tab w:val="left" w:pos="4860"/>
        </w:tabs>
        <w:spacing w:line="588" w:lineRule="exact"/>
        <w:ind w:right="1560" w:firstLine="504"/>
        <w:jc w:val="center"/>
        <w:rPr>
          <w:spacing w:val="6"/>
          <w:sz w:val="24"/>
        </w:rPr>
      </w:pPr>
      <w:r>
        <w:rPr>
          <w:spacing w:val="6"/>
          <w:sz w:val="24"/>
        </w:rPr>
        <w:t xml:space="preserve">       日  期：</w:t>
      </w:r>
    </w:p>
    <w:p w14:paraId="51F5B97C">
      <w:pPr>
        <w:pStyle w:val="204"/>
        <w:rPr>
          <w:rFonts w:hint="eastAsia"/>
          <w:lang w:eastAsia="zh-CN"/>
        </w:rPr>
      </w:pPr>
    </w:p>
    <w:p w14:paraId="31F33AFF">
      <w:pPr>
        <w:rPr>
          <w:rFonts w:hint="eastAsia"/>
          <w:lang w:eastAsia="zh-CN"/>
        </w:rPr>
      </w:pPr>
    </w:p>
    <w:p w14:paraId="66B0121C">
      <w:pPr>
        <w:pStyle w:val="184"/>
        <w:rPr>
          <w:rFonts w:hint="eastAsia"/>
          <w:lang w:eastAsia="zh-CN"/>
        </w:rPr>
      </w:pPr>
    </w:p>
    <w:p w14:paraId="1C8C8820">
      <w:pPr>
        <w:pStyle w:val="204"/>
        <w:rPr>
          <w:rFonts w:hint="eastAsia"/>
          <w:lang w:eastAsia="zh-CN"/>
        </w:rPr>
      </w:pPr>
    </w:p>
    <w:p w14:paraId="1DF62E81">
      <w:pPr>
        <w:rPr>
          <w:rFonts w:hint="eastAsia"/>
          <w:lang w:eastAsia="zh-CN"/>
        </w:rPr>
      </w:pPr>
    </w:p>
    <w:p w14:paraId="089AF671">
      <w:pPr>
        <w:pStyle w:val="184"/>
        <w:rPr>
          <w:rFonts w:hint="eastAsia"/>
          <w:lang w:eastAsia="zh-CN"/>
        </w:rPr>
      </w:pPr>
    </w:p>
    <w:p w14:paraId="4322DE3A">
      <w:pPr>
        <w:pStyle w:val="204"/>
        <w:rPr>
          <w:rFonts w:hint="eastAsia"/>
          <w:lang w:eastAsia="zh-CN"/>
        </w:rPr>
      </w:pPr>
    </w:p>
    <w:p w14:paraId="71B4A688">
      <w:pPr>
        <w:rPr>
          <w:rFonts w:hint="eastAsia"/>
          <w:lang w:eastAsia="zh-CN"/>
        </w:rPr>
      </w:pPr>
    </w:p>
    <w:p w14:paraId="4B5FDD1C">
      <w:pPr>
        <w:pStyle w:val="184"/>
        <w:rPr>
          <w:rFonts w:hint="eastAsia"/>
          <w:lang w:eastAsia="zh-CN"/>
        </w:rPr>
      </w:pPr>
    </w:p>
    <w:p w14:paraId="03896710">
      <w:pPr>
        <w:pStyle w:val="204"/>
        <w:rPr>
          <w:rFonts w:hint="eastAsia"/>
          <w:lang w:eastAsia="zh-CN"/>
        </w:rPr>
      </w:pPr>
    </w:p>
    <w:p w14:paraId="117AD7A6">
      <w:pPr>
        <w:rPr>
          <w:rFonts w:hint="eastAsia"/>
          <w:lang w:eastAsia="zh-CN"/>
        </w:rPr>
      </w:pPr>
    </w:p>
    <w:p w14:paraId="5549470D">
      <w:pPr>
        <w:pStyle w:val="184"/>
        <w:rPr>
          <w:rFonts w:hint="eastAsia"/>
          <w:lang w:eastAsia="zh-CN"/>
        </w:rPr>
      </w:pPr>
    </w:p>
    <w:p w14:paraId="50253034">
      <w:pPr>
        <w:pStyle w:val="204"/>
        <w:rPr>
          <w:rFonts w:hint="eastAsia"/>
          <w:lang w:eastAsia="zh-CN"/>
        </w:rPr>
      </w:pPr>
    </w:p>
    <w:p w14:paraId="3FC6EEAF">
      <w:pPr>
        <w:rPr>
          <w:rFonts w:hint="eastAsia"/>
          <w:lang w:eastAsia="zh-CN"/>
        </w:rPr>
      </w:pPr>
    </w:p>
    <w:p w14:paraId="660E4C63">
      <w:pPr>
        <w:pStyle w:val="184"/>
        <w:jc w:val="both"/>
        <w:rPr>
          <w:rFonts w:hint="eastAsia"/>
          <w:lang w:eastAsia="zh-CN"/>
        </w:rPr>
      </w:pPr>
    </w:p>
    <w:p w14:paraId="75326B55">
      <w:pPr>
        <w:pStyle w:val="204"/>
        <w:rPr>
          <w:rFonts w:hint="eastAsia"/>
          <w:lang w:eastAsia="zh-CN"/>
        </w:rPr>
      </w:pPr>
    </w:p>
    <w:p w14:paraId="411C25B0">
      <w:pPr>
        <w:rPr>
          <w:rFonts w:hint="eastAsia"/>
          <w:lang w:eastAsia="zh-CN"/>
        </w:rPr>
      </w:pPr>
    </w:p>
    <w:p w14:paraId="1785056C">
      <w:pPr>
        <w:spacing w:line="360" w:lineRule="auto"/>
        <w:outlineLvl w:val="2"/>
        <w:rPr>
          <w:color w:val="000000"/>
          <w:sz w:val="24"/>
          <w:szCs w:val="20"/>
        </w:rPr>
      </w:pPr>
      <w:r>
        <w:rPr>
          <w:color w:val="000000"/>
          <w:sz w:val="24"/>
          <w:szCs w:val="20"/>
        </w:rPr>
        <w:t>2-3</w:t>
      </w:r>
      <w:r>
        <w:rPr>
          <w:sz w:val="24"/>
        </w:rPr>
        <w:t>其它落实政府采购政策的资格要求</w:t>
      </w:r>
      <w:r>
        <w:rPr>
          <w:color w:val="000000"/>
          <w:sz w:val="24"/>
          <w:szCs w:val="20"/>
        </w:rPr>
        <w:t>（如有）</w:t>
      </w:r>
    </w:p>
    <w:p w14:paraId="4A43BC82">
      <w:pPr>
        <w:pStyle w:val="204"/>
        <w:rPr>
          <w:rFonts w:hint="eastAsia"/>
          <w:lang w:eastAsia="zh-CN"/>
        </w:rPr>
      </w:pPr>
    </w:p>
    <w:p w14:paraId="254E18FE">
      <w:pPr>
        <w:rPr>
          <w:rFonts w:hint="eastAsia"/>
          <w:lang w:eastAsia="zh-CN"/>
        </w:rPr>
        <w:sectPr>
          <w:headerReference r:id="rId16" w:type="default"/>
          <w:footerReference r:id="rId17"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1701" w:num="1"/>
          <w:docGrid w:linePitch="360" w:charSpace="0"/>
        </w:sectPr>
      </w:pPr>
    </w:p>
    <w:p w14:paraId="48C071DA">
      <w:pPr>
        <w:spacing w:line="360" w:lineRule="auto"/>
        <w:outlineLvl w:val="2"/>
        <w:rPr>
          <w:color w:val="000000"/>
          <w:sz w:val="24"/>
          <w:szCs w:val="20"/>
        </w:rPr>
      </w:pPr>
      <w:bookmarkStart w:id="642" w:name="_Toc264969247"/>
      <w:bookmarkStart w:id="643" w:name="_Toc142311059"/>
      <w:bookmarkStart w:id="644" w:name="_Toc195842922"/>
      <w:bookmarkStart w:id="645" w:name="_Toc265228395"/>
      <w:bookmarkStart w:id="646" w:name="_Toc480942350"/>
      <w:bookmarkStart w:id="647" w:name="_Toc226965830"/>
      <w:bookmarkStart w:id="648" w:name="_Toc226965747"/>
      <w:bookmarkStart w:id="649" w:name="_Toc150774762"/>
      <w:bookmarkStart w:id="650" w:name="_Toc150480795"/>
      <w:bookmarkStart w:id="651" w:name="_Toc226309801"/>
      <w:bookmarkStart w:id="652" w:name="_Ref467988705"/>
      <w:bookmarkStart w:id="653" w:name="_Toc226337253"/>
      <w:bookmarkStart w:id="654" w:name="_Toc520356218"/>
      <w:bookmarkStart w:id="655" w:name="_Toc305158899"/>
      <w:bookmarkStart w:id="656" w:name="_Toc305158825"/>
      <w:bookmarkStart w:id="657" w:name="_Toc127151557"/>
      <w:r>
        <w:rPr>
          <w:rFonts w:hint="eastAsia"/>
          <w:color w:val="000000"/>
          <w:sz w:val="24"/>
          <w:lang w:val="en-US" w:eastAsia="zh-CN"/>
        </w:rPr>
        <w:t>3</w:t>
      </w:r>
      <w:r>
        <w:rPr>
          <w:color w:val="000000"/>
          <w:sz w:val="24"/>
          <w:szCs w:val="20"/>
        </w:rPr>
        <w:t xml:space="preserve">  </w:t>
      </w:r>
      <w:r>
        <w:rPr>
          <w:color w:val="000000"/>
          <w:sz w:val="24"/>
        </w:rPr>
        <w:t>响应</w:t>
      </w:r>
      <w:r>
        <w:rPr>
          <w:rFonts w:hint="eastAsia"/>
          <w:color w:val="000000"/>
          <w:sz w:val="24"/>
        </w:rPr>
        <w:t>函</w:t>
      </w:r>
      <w:r>
        <w:rPr>
          <w:color w:val="000000"/>
          <w:sz w:val="24"/>
          <w:szCs w:val="20"/>
        </w:rPr>
        <w:t>（实质性格式）</w:t>
      </w:r>
    </w:p>
    <w:p w14:paraId="34FC26F7">
      <w:pPr>
        <w:tabs>
          <w:tab w:val="left" w:pos="5580"/>
        </w:tabs>
        <w:spacing w:line="360" w:lineRule="auto"/>
        <w:rPr>
          <w:color w:val="000000"/>
          <w:sz w:val="24"/>
        </w:rPr>
      </w:pPr>
    </w:p>
    <w:p w14:paraId="0D1BB83F">
      <w:pPr>
        <w:spacing w:line="360" w:lineRule="auto"/>
        <w:jc w:val="center"/>
        <w:rPr>
          <w:b/>
          <w:color w:val="000000"/>
          <w:sz w:val="36"/>
          <w:szCs w:val="36"/>
        </w:rPr>
      </w:pPr>
      <w:r>
        <w:rPr>
          <w:rFonts w:hint="eastAsia"/>
          <w:b/>
          <w:color w:val="000000"/>
          <w:sz w:val="36"/>
          <w:szCs w:val="36"/>
        </w:rPr>
        <w:t>响应函</w:t>
      </w:r>
    </w:p>
    <w:p w14:paraId="78F92F41">
      <w:pPr>
        <w:tabs>
          <w:tab w:val="left" w:pos="5580"/>
        </w:tabs>
        <w:spacing w:line="360" w:lineRule="auto"/>
        <w:rPr>
          <w:color w:val="000000"/>
          <w:sz w:val="24"/>
        </w:rPr>
      </w:pPr>
      <w:r>
        <w:rPr>
          <w:color w:val="000000"/>
          <w:sz w:val="24"/>
        </w:rPr>
        <w:t>致：</w:t>
      </w:r>
      <w:r>
        <w:rPr>
          <w:color w:val="000000"/>
          <w:sz w:val="24"/>
          <w:u w:val="single"/>
        </w:rPr>
        <w:t>（采购人）</w:t>
      </w:r>
    </w:p>
    <w:p w14:paraId="53E4A0BA">
      <w:pPr>
        <w:tabs>
          <w:tab w:val="left" w:pos="5580"/>
        </w:tabs>
        <w:spacing w:line="360" w:lineRule="auto"/>
        <w:rPr>
          <w:color w:val="000000"/>
          <w:sz w:val="24"/>
          <w:szCs w:val="20"/>
        </w:rPr>
      </w:pPr>
    </w:p>
    <w:p w14:paraId="5CCA3866">
      <w:pPr>
        <w:tabs>
          <w:tab w:val="left" w:pos="5580"/>
        </w:tabs>
        <w:spacing w:line="360" w:lineRule="auto"/>
        <w:ind w:firstLine="408"/>
        <w:rPr>
          <w:color w:val="000000"/>
          <w:sz w:val="24"/>
          <w:szCs w:val="20"/>
        </w:rPr>
      </w:pPr>
      <w:r>
        <w:rPr>
          <w:color w:val="000000"/>
          <w:sz w:val="24"/>
          <w:szCs w:val="20"/>
        </w:rPr>
        <w:t>我方参加你方就___________（项目名称，项目编号）组织的</w:t>
      </w:r>
      <w:r>
        <w:rPr>
          <w:rFonts w:hint="eastAsia"/>
          <w:color w:val="000000"/>
          <w:sz w:val="24"/>
          <w:szCs w:val="20"/>
        </w:rPr>
        <w:t>政府采购</w:t>
      </w:r>
      <w:r>
        <w:rPr>
          <w:color w:val="000000"/>
          <w:sz w:val="24"/>
          <w:szCs w:val="20"/>
        </w:rPr>
        <w:t>活动，并对此项目进行响应。</w:t>
      </w:r>
    </w:p>
    <w:p w14:paraId="121DF400">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已详细审查全部磋商文件</w:t>
      </w:r>
      <w:r>
        <w:rPr>
          <w:color w:val="000000"/>
          <w:sz w:val="24"/>
          <w:szCs w:val="20"/>
        </w:rPr>
        <w:t>，自愿参与响应并承诺如下：</w:t>
      </w:r>
    </w:p>
    <w:p w14:paraId="26346091">
      <w:pPr>
        <w:tabs>
          <w:tab w:val="left" w:pos="720"/>
          <w:tab w:val="left" w:pos="900"/>
        </w:tabs>
        <w:spacing w:line="360" w:lineRule="auto"/>
        <w:ind w:left="360" w:firstLine="72"/>
        <w:rPr>
          <w:color w:val="000000"/>
          <w:sz w:val="24"/>
          <w:szCs w:val="20"/>
        </w:rPr>
      </w:pPr>
      <w:r>
        <w:rPr>
          <w:color w:val="000000"/>
          <w:sz w:val="24"/>
          <w:szCs w:val="20"/>
        </w:rPr>
        <w:t>（1）本响应有效期为自提交响应文件的截止之日起</w:t>
      </w:r>
      <w:r>
        <w:rPr>
          <w:rFonts w:hint="eastAsia"/>
          <w:sz w:val="24"/>
        </w:rPr>
        <w:t>60</w:t>
      </w:r>
      <w:r>
        <w:rPr>
          <w:color w:val="000000"/>
          <w:sz w:val="24"/>
          <w:szCs w:val="20"/>
        </w:rPr>
        <w:t>个日历日。</w:t>
      </w:r>
    </w:p>
    <w:p w14:paraId="4C07D5F6">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（2）除合同条款及采购需求偏离表列出的偏离外，我方响应磋商文件的全部要求。</w:t>
      </w:r>
    </w:p>
    <w:p w14:paraId="04AFCF73">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15FC1751">
      <w:pPr>
        <w:tabs>
          <w:tab w:val="left" w:pos="5580"/>
        </w:tabs>
        <w:spacing w:line="360" w:lineRule="auto"/>
        <w:ind w:firstLine="420"/>
        <w:rPr>
          <w:color w:val="000000"/>
          <w:sz w:val="24"/>
        </w:rPr>
      </w:pPr>
      <w:r>
        <w:rPr>
          <w:color w:val="000000"/>
          <w:sz w:val="24"/>
          <w:szCs w:val="20"/>
        </w:rPr>
        <w:t>（4）如我方中标，我方将在法律规定的期限内与你方签订合同，按照磋商文件要求提交履约保证金，并在合同约定的期限内完成合同规定的全部义务。</w:t>
      </w:r>
    </w:p>
    <w:p w14:paraId="558F21D8">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14:paraId="5077FCF1">
      <w:pPr>
        <w:spacing w:line="360" w:lineRule="auto"/>
        <w:ind w:firstLine="480"/>
        <w:rPr>
          <w:color w:val="000000"/>
          <w:sz w:val="24"/>
        </w:rPr>
      </w:pPr>
      <w:r>
        <w:rPr>
          <w:color w:val="000000"/>
          <w:sz w:val="24"/>
        </w:rPr>
        <w:t>与本响应有关的一切正式往来信函请寄：</w:t>
      </w:r>
    </w:p>
    <w:p w14:paraId="7F954D17">
      <w:pPr>
        <w:tabs>
          <w:tab w:val="left" w:pos="5580"/>
        </w:tabs>
        <w:spacing w:line="360" w:lineRule="auto"/>
        <w:ind w:left="420"/>
        <w:rPr>
          <w:color w:val="000000"/>
          <w:sz w:val="24"/>
          <w:szCs w:val="20"/>
        </w:rPr>
      </w:pPr>
    </w:p>
    <w:p w14:paraId="0A30ED43">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4A4BE141">
      <w:pPr>
        <w:tabs>
          <w:tab w:val="left" w:pos="5580"/>
        </w:tabs>
        <w:spacing w:line="360" w:lineRule="auto"/>
        <w:ind w:left="420"/>
        <w:rPr>
          <w:color w:val="000000"/>
          <w:sz w:val="24"/>
          <w:szCs w:val="20"/>
        </w:rPr>
      </w:pPr>
      <w:r>
        <w:rPr>
          <w:color w:val="000000"/>
          <w:sz w:val="24"/>
          <w:szCs w:val="20"/>
        </w:rPr>
        <w:t xml:space="preserve">电话_________________________     </w:t>
      </w:r>
    </w:p>
    <w:p w14:paraId="037C787D">
      <w:pPr>
        <w:tabs>
          <w:tab w:val="left" w:pos="5580"/>
        </w:tabs>
        <w:spacing w:line="360" w:lineRule="auto"/>
        <w:ind w:left="420"/>
        <w:rPr>
          <w:color w:val="000000"/>
          <w:sz w:val="24"/>
          <w:szCs w:val="20"/>
        </w:rPr>
      </w:pPr>
      <w:r>
        <w:rPr>
          <w:color w:val="000000"/>
          <w:sz w:val="24"/>
          <w:szCs w:val="20"/>
        </w:rPr>
        <w:t>供应商名称（加盖公章） ___________</w:t>
      </w:r>
    </w:p>
    <w:p w14:paraId="690FD10A">
      <w:pPr>
        <w:tabs>
          <w:tab w:val="left" w:pos="5580"/>
        </w:tabs>
        <w:spacing w:line="360" w:lineRule="auto"/>
        <w:ind w:left="420"/>
        <w:rPr>
          <w:color w:val="000000"/>
          <w:sz w:val="24"/>
          <w:szCs w:val="20"/>
        </w:rPr>
      </w:pPr>
      <w:r>
        <w:rPr>
          <w:color w:val="000000"/>
          <w:sz w:val="24"/>
          <w:szCs w:val="20"/>
        </w:rPr>
        <w:t xml:space="preserve">日期：_____年______月______日    </w:t>
      </w:r>
    </w:p>
    <w:p w14:paraId="2E2BBD01">
      <w:pPr>
        <w:tabs>
          <w:tab w:val="left" w:pos="5580"/>
        </w:tabs>
        <w:spacing w:line="360" w:lineRule="auto"/>
        <w:ind w:left="420"/>
        <w:rPr>
          <w:color w:val="000000"/>
          <w:sz w:val="24"/>
          <w:szCs w:val="20"/>
          <w:u w:val="single"/>
        </w:rPr>
      </w:pPr>
    </w:p>
    <w:p w14:paraId="3CEFAE24">
      <w:pPr>
        <w:widowControl/>
        <w:jc w:val="left"/>
        <w:rPr>
          <w:rFonts w:hint="eastAsia"/>
          <w:color w:val="000000"/>
          <w:sz w:val="24"/>
        </w:rPr>
      </w:pPr>
      <w:bookmarkStart w:id="658" w:name="_Hlt520356243"/>
      <w:bookmarkEnd w:id="658"/>
      <w:bookmarkStart w:id="659" w:name="_Hlt520355938"/>
      <w:bookmarkEnd w:id="659"/>
      <w:r>
        <w:rPr>
          <w:color w:val="000000"/>
          <w:sz w:val="24"/>
        </w:rPr>
        <w:br w:type="page" w:clear="all"/>
      </w:r>
      <w:r>
        <w:rPr>
          <w:rFonts w:hint="eastAsia"/>
          <w:color w:val="000000"/>
          <w:sz w:val="24"/>
          <w:lang w:val="en-US" w:eastAsia="zh-CN"/>
        </w:rPr>
        <w:t>4</w:t>
      </w:r>
      <w:r>
        <w:rPr>
          <w:color w:val="000000"/>
          <w:sz w:val="24"/>
        </w:rPr>
        <w:t xml:space="preserve">  </w:t>
      </w:r>
      <w:r>
        <w:rPr>
          <w:rFonts w:hint="eastAsia"/>
          <w:color w:val="000000"/>
          <w:sz w:val="24"/>
        </w:rPr>
        <w:t>法定代表人资格证明书</w:t>
      </w:r>
      <w:r>
        <w:rPr>
          <w:color w:val="000000"/>
          <w:sz w:val="24"/>
          <w:szCs w:val="20"/>
        </w:rPr>
        <w:t>（实质性格式）</w:t>
      </w:r>
    </w:p>
    <w:p w14:paraId="3FBF85F7">
      <w:pPr>
        <w:spacing w:line="360" w:lineRule="auto"/>
        <w:jc w:val="center"/>
        <w:rPr>
          <w:rFonts w:hint="eastAsia" w:ascii="宋体" w:hAnsi="宋体"/>
          <w:b/>
          <w:sz w:val="32"/>
          <w:szCs w:val="32"/>
        </w:rPr>
      </w:pPr>
    </w:p>
    <w:p w14:paraId="2E19D391">
      <w:pPr>
        <w:spacing w:line="360" w:lineRule="auto"/>
        <w:jc w:val="center"/>
        <w:rPr>
          <w:rFonts w:ascii="宋体" w:hAnsi="宋体"/>
          <w:b/>
          <w:sz w:val="32"/>
          <w:szCs w:val="32"/>
        </w:rPr>
      </w:pPr>
      <w:r>
        <w:rPr>
          <w:rFonts w:hint="eastAsia" w:ascii="宋体" w:hAnsi="宋体"/>
          <w:b/>
          <w:sz w:val="32"/>
          <w:szCs w:val="32"/>
        </w:rPr>
        <w:t>法定代表人资格证明书</w:t>
      </w:r>
    </w:p>
    <w:p w14:paraId="2BE0627D">
      <w:pPr>
        <w:spacing w:line="560" w:lineRule="exact"/>
        <w:rPr>
          <w:rFonts w:ascii="宋体" w:hAnsi="宋体"/>
          <w:sz w:val="24"/>
        </w:rPr>
      </w:pPr>
      <w:r>
        <w:rPr>
          <w:rFonts w:hint="eastAsia" w:ascii="宋体" w:hAnsi="宋体"/>
          <w:sz w:val="24"/>
        </w:rPr>
        <w:t>单位名称:</w:t>
      </w:r>
    </w:p>
    <w:p w14:paraId="3AEB5F3A">
      <w:pPr>
        <w:spacing w:line="560" w:lineRule="exact"/>
        <w:rPr>
          <w:rFonts w:ascii="宋体" w:hAnsi="宋体"/>
          <w:sz w:val="24"/>
        </w:rPr>
      </w:pPr>
      <w:r>
        <w:rPr>
          <w:rFonts w:hint="eastAsia" w:ascii="宋体" w:hAnsi="宋体"/>
          <w:sz w:val="24"/>
        </w:rPr>
        <w:t>地址:</w:t>
      </w:r>
    </w:p>
    <w:p w14:paraId="365ED878">
      <w:pPr>
        <w:spacing w:line="560" w:lineRule="exact"/>
        <w:rPr>
          <w:rFonts w:ascii="宋体" w:hAnsi="宋体"/>
          <w:sz w:val="24"/>
        </w:rPr>
      </w:pPr>
      <w:r>
        <w:rPr>
          <w:rFonts w:hint="eastAsia" w:ascii="宋体" w:hAnsi="宋体"/>
          <w:sz w:val="24"/>
        </w:rPr>
        <w:t>姓名:     性别:       年龄:      职务:</w:t>
      </w:r>
    </w:p>
    <w:p w14:paraId="20E01453">
      <w:pPr>
        <w:spacing w:line="560" w:lineRule="exact"/>
        <w:rPr>
          <w:rFonts w:ascii="宋体" w:hAnsi="宋体"/>
          <w:sz w:val="24"/>
        </w:rPr>
      </w:pPr>
      <w:r>
        <w:rPr>
          <w:rFonts w:hint="eastAsia" w:ascii="宋体" w:hAnsi="宋体"/>
          <w:sz w:val="24"/>
        </w:rPr>
        <w:t>系</w:t>
      </w:r>
      <w:r>
        <w:rPr>
          <w:rFonts w:hint="eastAsia" w:ascii="宋体" w:hAnsi="宋体"/>
          <w:sz w:val="24"/>
          <w:u w:val="single"/>
        </w:rPr>
        <w:t>（供应商名称）</w:t>
      </w:r>
      <w:r>
        <w:rPr>
          <w:rFonts w:hint="eastAsia" w:ascii="宋体" w:hAnsi="宋体"/>
          <w:sz w:val="24"/>
        </w:rPr>
        <w:t>的法定代表人。为参与</w:t>
      </w:r>
      <w:r>
        <w:rPr>
          <w:rFonts w:hint="eastAsia" w:ascii="宋体" w:hAnsi="宋体"/>
          <w:sz w:val="24"/>
          <w:u w:val="single"/>
        </w:rPr>
        <w:t>（项目名称）</w:t>
      </w:r>
      <w:r>
        <w:rPr>
          <w:rFonts w:hint="eastAsia" w:ascii="宋体" w:hAnsi="宋体"/>
          <w:sz w:val="24"/>
        </w:rPr>
        <w:t>的政府采购活动，</w:t>
      </w:r>
      <w:r>
        <w:rPr>
          <w:rFonts w:ascii="宋体" w:hAnsi="宋体"/>
          <w:color w:val="000000"/>
          <w:sz w:val="24"/>
          <w:szCs w:val="20"/>
        </w:rPr>
        <w:t>签署、澄清确认、递交、撤回、修改</w:t>
      </w:r>
      <w:r>
        <w:rPr>
          <w:rFonts w:hint="eastAsia" w:ascii="宋体" w:hAnsi="宋体"/>
          <w:sz w:val="24"/>
        </w:rPr>
        <w:t>上述项目的响应文件、进行合同磋商、签署合同和处理与之有关的一切事务。</w:t>
      </w:r>
    </w:p>
    <w:p w14:paraId="069156DA">
      <w:pPr>
        <w:spacing w:line="560" w:lineRule="exact"/>
        <w:rPr>
          <w:rFonts w:ascii="宋体" w:hAnsi="宋体"/>
          <w:sz w:val="24"/>
        </w:rPr>
      </w:pPr>
      <w:r>
        <w:rPr>
          <w:rFonts w:hint="eastAsia" w:ascii="宋体" w:hAnsi="宋体"/>
          <w:sz w:val="24"/>
        </w:rPr>
        <w:t>特此证明。</w:t>
      </w:r>
    </w:p>
    <w:p w14:paraId="42D9D81E">
      <w:pPr>
        <w:spacing w:line="560" w:lineRule="exact"/>
        <w:rPr>
          <w:rFonts w:ascii="宋体" w:hAnsi="宋体"/>
          <w:sz w:val="24"/>
        </w:rPr>
      </w:pPr>
    </w:p>
    <w:p w14:paraId="6A0082E4">
      <w:pPr>
        <w:pStyle w:val="213"/>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w:t>
      </w:r>
    </w:p>
    <w:tbl>
      <w:tblPr>
        <w:tblStyle w:val="29"/>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287CED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0A4B5634">
            <w:pPr>
              <w:tabs>
                <w:tab w:val="left" w:pos="5580"/>
              </w:tabs>
              <w:spacing w:line="360" w:lineRule="auto"/>
              <w:jc w:val="left"/>
              <w:rPr>
                <w:rFonts w:ascii="宋体" w:hAnsi="宋体"/>
                <w:color w:val="000000"/>
                <w:sz w:val="24"/>
                <w:szCs w:val="20"/>
              </w:rPr>
            </w:pPr>
          </w:p>
          <w:p w14:paraId="480E9AEE">
            <w:pPr>
              <w:tabs>
                <w:tab w:val="left" w:pos="5580"/>
              </w:tabs>
              <w:spacing w:line="360" w:lineRule="auto"/>
              <w:jc w:val="left"/>
              <w:rPr>
                <w:rFonts w:ascii="宋体" w:hAnsi="宋体"/>
                <w:color w:val="000000"/>
                <w:sz w:val="24"/>
                <w:szCs w:val="20"/>
              </w:rPr>
            </w:pPr>
          </w:p>
          <w:p w14:paraId="78A2F3CA">
            <w:pPr>
              <w:tabs>
                <w:tab w:val="left" w:pos="5580"/>
              </w:tabs>
              <w:spacing w:line="360" w:lineRule="auto"/>
              <w:jc w:val="left"/>
              <w:rPr>
                <w:rFonts w:ascii="宋体" w:hAnsi="宋体"/>
                <w:color w:val="000000"/>
                <w:sz w:val="24"/>
                <w:szCs w:val="20"/>
              </w:rPr>
            </w:pPr>
          </w:p>
        </w:tc>
        <w:tc>
          <w:tcPr>
            <w:tcW w:w="4536" w:type="dxa"/>
            <w:noWrap w:val="0"/>
            <w:vAlign w:val="top"/>
          </w:tcPr>
          <w:p w14:paraId="24ED0FB9">
            <w:pPr>
              <w:tabs>
                <w:tab w:val="left" w:pos="5580"/>
              </w:tabs>
              <w:spacing w:line="360" w:lineRule="auto"/>
              <w:jc w:val="left"/>
              <w:rPr>
                <w:rFonts w:ascii="宋体" w:hAnsi="宋体"/>
                <w:color w:val="000000"/>
                <w:sz w:val="24"/>
                <w:szCs w:val="20"/>
              </w:rPr>
            </w:pPr>
          </w:p>
          <w:p w14:paraId="41A22A35">
            <w:pPr>
              <w:tabs>
                <w:tab w:val="left" w:pos="5580"/>
              </w:tabs>
              <w:spacing w:line="360" w:lineRule="auto"/>
              <w:jc w:val="left"/>
              <w:rPr>
                <w:rFonts w:ascii="宋体" w:hAnsi="宋体"/>
                <w:color w:val="000000"/>
                <w:sz w:val="24"/>
                <w:szCs w:val="20"/>
              </w:rPr>
            </w:pPr>
          </w:p>
          <w:p w14:paraId="0FB84B71">
            <w:pPr>
              <w:tabs>
                <w:tab w:val="left" w:pos="5580"/>
              </w:tabs>
              <w:spacing w:line="360" w:lineRule="auto"/>
              <w:jc w:val="left"/>
              <w:rPr>
                <w:rFonts w:ascii="宋体" w:hAnsi="宋体"/>
                <w:color w:val="000000"/>
                <w:sz w:val="24"/>
                <w:szCs w:val="20"/>
              </w:rPr>
            </w:pPr>
          </w:p>
        </w:tc>
      </w:tr>
    </w:tbl>
    <w:p w14:paraId="0B20FB2D">
      <w:pPr>
        <w:spacing w:line="560" w:lineRule="exact"/>
        <w:rPr>
          <w:rFonts w:ascii="宋体" w:hAnsi="宋体"/>
          <w:sz w:val="24"/>
        </w:rPr>
      </w:pPr>
      <w:r>
        <w:rPr>
          <w:rFonts w:hint="eastAsia" w:ascii="宋体" w:hAnsi="宋体"/>
          <w:sz w:val="24"/>
        </w:rPr>
        <w:t>                     供应商：（加盖公章）</w:t>
      </w:r>
    </w:p>
    <w:p w14:paraId="4DBC6DC2">
      <w:pPr>
        <w:spacing w:line="560" w:lineRule="exact"/>
        <w:rPr>
          <w:rFonts w:ascii="宋体" w:hAnsi="宋体"/>
          <w:sz w:val="24"/>
        </w:rPr>
      </w:pPr>
      <w:r>
        <w:rPr>
          <w:rFonts w:hint="eastAsia" w:ascii="宋体" w:hAnsi="宋体"/>
          <w:sz w:val="24"/>
        </w:rPr>
        <w:t>                       法定代表人</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ascii="宋体" w:hAnsi="宋体"/>
          <w:sz w:val="24"/>
        </w:rPr>
        <w:t>：</w:t>
      </w:r>
    </w:p>
    <w:p w14:paraId="0A1AF1D7">
      <w:pPr>
        <w:spacing w:line="560" w:lineRule="exact"/>
        <w:ind w:firstLine="4320"/>
        <w:rPr>
          <w:rFonts w:ascii="宋体" w:hAnsi="宋体"/>
          <w:sz w:val="24"/>
        </w:rPr>
      </w:pPr>
      <w:r>
        <w:rPr>
          <w:rFonts w:hint="eastAsia" w:ascii="宋体" w:hAnsi="宋体"/>
          <w:sz w:val="24"/>
        </w:rPr>
        <w:t>日期：    年    月    日</w:t>
      </w:r>
    </w:p>
    <w:p w14:paraId="736E631C">
      <w:pPr>
        <w:widowControl/>
        <w:jc w:val="left"/>
        <w:rPr>
          <w:rFonts w:hint="eastAsia"/>
          <w:color w:val="000000"/>
          <w:sz w:val="24"/>
        </w:rPr>
      </w:pPr>
    </w:p>
    <w:p w14:paraId="052D1983">
      <w:pPr>
        <w:widowControl/>
        <w:jc w:val="left"/>
        <w:rPr>
          <w:rFonts w:hint="eastAsia"/>
          <w:color w:val="000000"/>
          <w:sz w:val="24"/>
        </w:rPr>
      </w:pPr>
    </w:p>
    <w:p w14:paraId="11B69B86">
      <w:pPr>
        <w:widowControl/>
        <w:jc w:val="left"/>
        <w:rPr>
          <w:rFonts w:hint="eastAsia"/>
          <w:color w:val="000000"/>
          <w:sz w:val="24"/>
        </w:rPr>
      </w:pPr>
    </w:p>
    <w:p w14:paraId="29AF8CCC">
      <w:pPr>
        <w:tabs>
          <w:tab w:val="left" w:pos="5580"/>
        </w:tabs>
        <w:spacing w:line="360" w:lineRule="auto"/>
        <w:jc w:val="left"/>
        <w:rPr>
          <w:rFonts w:hint="eastAsia" w:ascii="宋体" w:hAnsi="宋体"/>
          <w:color w:val="000000"/>
          <w:sz w:val="24"/>
          <w:szCs w:val="20"/>
        </w:rPr>
      </w:pPr>
    </w:p>
    <w:p w14:paraId="2E1D38F2">
      <w:pPr>
        <w:tabs>
          <w:tab w:val="left" w:pos="5580"/>
        </w:tabs>
        <w:spacing w:line="360" w:lineRule="auto"/>
        <w:jc w:val="left"/>
        <w:rPr>
          <w:rFonts w:hint="eastAsia" w:ascii="宋体" w:hAnsi="宋体"/>
          <w:color w:val="000000"/>
          <w:sz w:val="24"/>
          <w:szCs w:val="20"/>
        </w:rPr>
      </w:pPr>
    </w:p>
    <w:p w14:paraId="1D5F643F">
      <w:pPr>
        <w:widowControl/>
        <w:jc w:val="left"/>
        <w:rPr>
          <w:rFonts w:hint="eastAsia"/>
          <w:color w:val="000000"/>
          <w:sz w:val="24"/>
        </w:rPr>
      </w:pPr>
      <w:r>
        <w:rPr>
          <w:rFonts w:hint="eastAsia" w:ascii="宋体" w:hAnsi="宋体" w:eastAsia="宋体" w:cs="Times New Roman"/>
          <w:b/>
          <w:sz w:val="32"/>
          <w:szCs w:val="32"/>
          <w:lang w:val="en-US" w:eastAsia="zh-CN" w:bidi="ar-SA"/>
        </w:rPr>
        <w:br w:type="page" w:clear="all"/>
      </w:r>
      <w:r>
        <w:rPr>
          <w:rFonts w:hint="eastAsia"/>
          <w:color w:val="000000"/>
          <w:sz w:val="24"/>
          <w:lang w:val="en-US" w:eastAsia="zh-CN"/>
        </w:rPr>
        <w:t>5</w:t>
      </w:r>
      <w:r>
        <w:rPr>
          <w:rFonts w:hint="eastAsia"/>
          <w:color w:val="000000"/>
          <w:sz w:val="24"/>
        </w:rPr>
        <w:t xml:space="preserve"> 政府采购供应商信用承诺书</w:t>
      </w:r>
      <w:r>
        <w:rPr>
          <w:color w:val="000000"/>
          <w:sz w:val="24"/>
          <w:szCs w:val="20"/>
        </w:rPr>
        <w:t>（实质性格式）</w:t>
      </w:r>
    </w:p>
    <w:p w14:paraId="61DCFFDF">
      <w:pPr>
        <w:spacing w:line="560" w:lineRule="exact"/>
        <w:ind w:firstLine="321"/>
        <w:jc w:val="center"/>
        <w:rPr>
          <w:rFonts w:hint="eastAsia" w:ascii="黑体" w:hAnsi="黑体" w:eastAsia="黑体"/>
          <w:b/>
          <w:sz w:val="32"/>
          <w:szCs w:val="32"/>
        </w:rPr>
      </w:pPr>
    </w:p>
    <w:p w14:paraId="0B1BC503">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17890B7B">
      <w:pPr>
        <w:ind w:firstLine="640"/>
      </w:pPr>
    </w:p>
    <w:p w14:paraId="05FE1853">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2CA53DFD">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138FBBC6">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w:t>
      </w:r>
      <w:r>
        <w:rPr>
          <w:rFonts w:hint="eastAsia" w:ascii="宋体" w:hAnsi="宋体"/>
          <w:sz w:val="24"/>
          <w:lang w:eastAsia="zh-CN"/>
        </w:rPr>
        <w:t>“</w:t>
      </w:r>
      <w:r>
        <w:rPr>
          <w:rFonts w:hint="eastAsia" w:ascii="宋体" w:hAnsi="宋体"/>
          <w:sz w:val="24"/>
        </w:rPr>
        <w:t>信用常州</w:t>
      </w:r>
      <w:r>
        <w:rPr>
          <w:rFonts w:hint="eastAsia" w:ascii="宋体" w:hAnsi="宋体"/>
          <w:sz w:val="24"/>
          <w:lang w:eastAsia="zh-CN"/>
        </w:rPr>
        <w:t>”</w:t>
      </w:r>
      <w:r>
        <w:rPr>
          <w:rFonts w:hint="eastAsia" w:ascii="宋体" w:hAnsi="宋体"/>
          <w:sz w:val="24"/>
        </w:rPr>
        <w:t>、常州市政府采购网。</w:t>
      </w:r>
    </w:p>
    <w:p w14:paraId="30D6DC85">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1B97959F">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09D5565C">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6B5FECCF">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44303116">
      <w:pPr>
        <w:spacing w:line="276" w:lineRule="auto"/>
        <w:ind w:firstLine="480"/>
        <w:rPr>
          <w:rFonts w:ascii="宋体" w:hAnsi="宋体"/>
          <w:sz w:val="24"/>
        </w:rPr>
      </w:pPr>
      <w:r>
        <w:rPr>
          <w:rFonts w:hint="eastAsia" w:ascii="宋体" w:hAnsi="宋体"/>
          <w:sz w:val="24"/>
        </w:rPr>
        <w:t xml:space="preserve">七、承诺本单位在信用中国（江苏）网站中无违法违规、较重或严重失信记录。 </w:t>
      </w:r>
    </w:p>
    <w:p w14:paraId="557DAE43">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134AF62F">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6FB01150">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3EF87664">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6E77C3A5">
      <w:pPr>
        <w:pStyle w:val="430"/>
        <w:spacing w:line="276" w:lineRule="auto"/>
        <w:ind w:right="1050" w:firstLine="2880"/>
        <w:jc w:val="both"/>
        <w:rPr>
          <w:rFonts w:ascii="宋体" w:hAnsi="宋体" w:eastAsia="宋体"/>
          <w:sz w:val="24"/>
          <w:szCs w:val="22"/>
        </w:rPr>
      </w:pPr>
    </w:p>
    <w:p w14:paraId="1DF950A6">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759D55FB">
      <w:pPr>
        <w:spacing w:before="25" w:after="25" w:line="360" w:lineRule="auto"/>
        <w:rPr>
          <w:color w:val="000000"/>
          <w:sz w:val="24"/>
          <w:lang w:val="zh-CN"/>
        </w:rPr>
      </w:pPr>
      <w:r>
        <w:rPr>
          <w:color w:val="000000"/>
          <w:sz w:val="24"/>
          <w:szCs w:val="20"/>
        </w:rPr>
        <w:t xml:space="preserve">日期：_____年______月______日   </w:t>
      </w:r>
    </w:p>
    <w:p w14:paraId="5D82204C">
      <w:pPr>
        <w:spacing w:line="360" w:lineRule="auto"/>
        <w:outlineLvl w:val="2"/>
        <w:rPr>
          <w:color w:val="000000"/>
          <w:sz w:val="24"/>
          <w:szCs w:val="20"/>
        </w:rPr>
      </w:pPr>
    </w:p>
    <w:p w14:paraId="4BCF1573">
      <w:pPr>
        <w:spacing w:line="360" w:lineRule="auto"/>
        <w:outlineLvl w:val="2"/>
        <w:rPr>
          <w:color w:val="000000"/>
          <w:sz w:val="24"/>
          <w:szCs w:val="20"/>
        </w:rPr>
      </w:pPr>
    </w:p>
    <w:p w14:paraId="3707CF54">
      <w:pPr>
        <w:spacing w:line="360" w:lineRule="auto"/>
        <w:outlineLvl w:val="2"/>
        <w:rPr>
          <w:color w:val="000000"/>
          <w:sz w:val="24"/>
          <w:szCs w:val="20"/>
        </w:rPr>
      </w:pPr>
    </w:p>
    <w:p w14:paraId="059CD788">
      <w:pPr>
        <w:spacing w:line="360" w:lineRule="auto"/>
        <w:outlineLvl w:val="2"/>
        <w:rPr>
          <w:color w:val="000000"/>
          <w:sz w:val="24"/>
          <w:szCs w:val="20"/>
        </w:rPr>
      </w:pPr>
    </w:p>
    <w:p w14:paraId="16FFBCF4">
      <w:pPr>
        <w:spacing w:line="360" w:lineRule="auto"/>
        <w:outlineLvl w:val="2"/>
        <w:rPr>
          <w:color w:val="000000"/>
          <w:sz w:val="24"/>
          <w:szCs w:val="20"/>
        </w:rPr>
      </w:pPr>
    </w:p>
    <w:p w14:paraId="4E89B883">
      <w:pPr>
        <w:spacing w:line="360" w:lineRule="auto"/>
        <w:outlineLvl w:val="2"/>
        <w:rPr>
          <w:color w:val="000000"/>
          <w:sz w:val="24"/>
          <w:szCs w:val="20"/>
        </w:rPr>
      </w:pPr>
    </w:p>
    <w:p w14:paraId="26A7114C">
      <w:pPr>
        <w:spacing w:line="360" w:lineRule="auto"/>
        <w:outlineLvl w:val="2"/>
        <w:rPr>
          <w:color w:val="000000"/>
          <w:sz w:val="24"/>
          <w:szCs w:val="20"/>
        </w:rPr>
      </w:pPr>
      <w:r>
        <w:rPr>
          <w:rFonts w:hint="eastAsia"/>
          <w:color w:val="000000"/>
          <w:sz w:val="24"/>
          <w:szCs w:val="20"/>
          <w:lang w:val="en-US" w:eastAsia="zh-CN"/>
        </w:rPr>
        <w:t>6</w:t>
      </w:r>
      <w:r>
        <w:rPr>
          <w:color w:val="000000"/>
          <w:sz w:val="24"/>
          <w:szCs w:val="20"/>
        </w:rPr>
        <w:t xml:space="preserve">  报价一览表</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p>
    <w:p w14:paraId="4D48A4F7">
      <w:pPr>
        <w:jc w:val="center"/>
        <w:rPr>
          <w:b/>
          <w:color w:val="000000"/>
          <w:sz w:val="36"/>
          <w:szCs w:val="36"/>
        </w:rPr>
      </w:pPr>
      <w:bookmarkStart w:id="660" w:name="_Toc226965831"/>
      <w:bookmarkStart w:id="661" w:name="_Toc164608827"/>
      <w:bookmarkStart w:id="662" w:name="_Toc226309802"/>
      <w:bookmarkStart w:id="663" w:name="_Toc226337254"/>
      <w:bookmarkStart w:id="664" w:name="_Toc164608672"/>
      <w:bookmarkStart w:id="665" w:name="_Toc226965748"/>
      <w:bookmarkStart w:id="666" w:name="_Toc305158826"/>
      <w:bookmarkStart w:id="667" w:name="_Toc305158900"/>
      <w:bookmarkStart w:id="668" w:name="_Toc195842923"/>
      <w:bookmarkStart w:id="669" w:name="_Toc265228396"/>
      <w:bookmarkStart w:id="670" w:name="_Toc264969248"/>
      <w:r>
        <w:rPr>
          <w:rFonts w:hint="eastAsia"/>
          <w:b/>
          <w:color w:val="000000"/>
          <w:sz w:val="36"/>
          <w:szCs w:val="36"/>
        </w:rPr>
        <w:t>报价一览表</w:t>
      </w:r>
      <w:bookmarkEnd w:id="660"/>
      <w:bookmarkEnd w:id="661"/>
      <w:bookmarkEnd w:id="662"/>
      <w:bookmarkEnd w:id="663"/>
      <w:bookmarkEnd w:id="664"/>
      <w:bookmarkEnd w:id="665"/>
      <w:bookmarkEnd w:id="666"/>
      <w:bookmarkEnd w:id="667"/>
      <w:bookmarkEnd w:id="668"/>
      <w:bookmarkEnd w:id="669"/>
      <w:bookmarkEnd w:id="670"/>
    </w:p>
    <w:p w14:paraId="2C0140D9">
      <w:pPr>
        <w:tabs>
          <w:tab w:val="left" w:pos="1800"/>
          <w:tab w:val="left" w:pos="5580"/>
        </w:tabs>
        <w:spacing w:line="360" w:lineRule="auto"/>
        <w:jc w:val="left"/>
        <w:rPr>
          <w:color w:val="000000"/>
          <w:sz w:val="24"/>
        </w:rPr>
      </w:pPr>
    </w:p>
    <w:p w14:paraId="3900C1A8">
      <w:pPr>
        <w:tabs>
          <w:tab w:val="left" w:pos="1800"/>
          <w:tab w:val="left" w:pos="5580"/>
        </w:tabs>
        <w:spacing w:line="360" w:lineRule="auto"/>
        <w:ind w:firstLine="240"/>
        <w:jc w:val="left"/>
        <w:rPr>
          <w:color w:val="000000"/>
          <w:sz w:val="24"/>
          <w:u w:val="single"/>
        </w:rPr>
      </w:pPr>
      <w:r>
        <w:rPr>
          <w:color w:val="000000"/>
          <w:sz w:val="24"/>
        </w:rPr>
        <w:t>项目编号：_____________________     项目名称：_______________________</w:t>
      </w:r>
    </w:p>
    <w:tbl>
      <w:tblPr>
        <w:tblStyle w:val="29"/>
        <w:tblW w:w="466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897"/>
        <w:gridCol w:w="2428"/>
        <w:gridCol w:w="2439"/>
        <w:gridCol w:w="2713"/>
      </w:tblGrid>
      <w:tr w14:paraId="1B19CC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96" w:type="dxa"/>
            <w:vMerge w:val="restart"/>
            <w:noWrap w:val="0"/>
            <w:vAlign w:val="center"/>
          </w:tcPr>
          <w:p w14:paraId="3CA8DD84">
            <w:pPr>
              <w:tabs>
                <w:tab w:val="left" w:pos="5580"/>
              </w:tabs>
              <w:jc w:val="center"/>
              <w:rPr>
                <w:b/>
                <w:sz w:val="24"/>
              </w:rPr>
            </w:pPr>
            <w:r>
              <w:rPr>
                <w:rFonts w:hint="eastAsia"/>
                <w:b/>
                <w:sz w:val="24"/>
              </w:rPr>
              <w:t>序号</w:t>
            </w:r>
          </w:p>
        </w:tc>
        <w:tc>
          <w:tcPr>
            <w:tcW w:w="2426" w:type="dxa"/>
            <w:vMerge w:val="restart"/>
            <w:noWrap w:val="0"/>
            <w:vAlign w:val="center"/>
          </w:tcPr>
          <w:p w14:paraId="3E5A41F0">
            <w:pPr>
              <w:tabs>
                <w:tab w:val="left" w:pos="5580"/>
              </w:tabs>
              <w:jc w:val="center"/>
              <w:rPr>
                <w:b/>
                <w:sz w:val="24"/>
              </w:rPr>
            </w:pPr>
            <w:r>
              <w:rPr>
                <w:rFonts w:hint="eastAsia"/>
                <w:b/>
                <w:sz w:val="24"/>
              </w:rPr>
              <w:t>供应商名称</w:t>
            </w:r>
          </w:p>
        </w:tc>
        <w:tc>
          <w:tcPr>
            <w:tcW w:w="5147" w:type="dxa"/>
            <w:gridSpan w:val="2"/>
            <w:noWrap w:val="0"/>
            <w:vAlign w:val="center"/>
          </w:tcPr>
          <w:p w14:paraId="23F36A30">
            <w:pPr>
              <w:tabs>
                <w:tab w:val="left" w:pos="5580"/>
              </w:tabs>
              <w:jc w:val="center"/>
              <w:rPr>
                <w:rFonts w:hint="eastAsia" w:eastAsia="宋体"/>
                <w:b/>
                <w:sz w:val="24"/>
                <w:lang w:eastAsia="zh-CN"/>
              </w:rPr>
            </w:pPr>
            <w:r>
              <w:rPr>
                <w:rFonts w:hint="eastAsia"/>
                <w:b/>
                <w:sz w:val="24"/>
              </w:rPr>
              <w:t>报价</w:t>
            </w:r>
            <w:r>
              <w:rPr>
                <w:rFonts w:hint="eastAsia"/>
                <w:b/>
                <w:sz w:val="24"/>
                <w:lang w:eastAsia="zh-CN"/>
              </w:rPr>
              <w:t>（元）</w:t>
            </w:r>
          </w:p>
        </w:tc>
      </w:tr>
      <w:tr w14:paraId="65B8DC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896" w:type="dxa"/>
            <w:vMerge w:val="continue"/>
            <w:noWrap w:val="0"/>
            <w:vAlign w:val="center"/>
          </w:tcPr>
          <w:p w14:paraId="24785E08">
            <w:pPr>
              <w:widowControl/>
              <w:jc w:val="left"/>
              <w:rPr>
                <w:b/>
                <w:sz w:val="24"/>
              </w:rPr>
            </w:pPr>
          </w:p>
        </w:tc>
        <w:tc>
          <w:tcPr>
            <w:tcW w:w="2426" w:type="dxa"/>
            <w:vMerge w:val="continue"/>
            <w:noWrap w:val="0"/>
            <w:vAlign w:val="center"/>
          </w:tcPr>
          <w:p w14:paraId="6A0C249F">
            <w:pPr>
              <w:widowControl/>
              <w:jc w:val="left"/>
              <w:rPr>
                <w:b/>
                <w:sz w:val="24"/>
              </w:rPr>
            </w:pPr>
          </w:p>
        </w:tc>
        <w:tc>
          <w:tcPr>
            <w:tcW w:w="2437" w:type="dxa"/>
            <w:noWrap w:val="0"/>
            <w:vAlign w:val="center"/>
          </w:tcPr>
          <w:p w14:paraId="6A28471F">
            <w:pPr>
              <w:tabs>
                <w:tab w:val="left" w:pos="5580"/>
              </w:tabs>
              <w:jc w:val="center"/>
              <w:rPr>
                <w:b/>
                <w:sz w:val="24"/>
              </w:rPr>
            </w:pPr>
            <w:r>
              <w:rPr>
                <w:rFonts w:hint="eastAsia"/>
                <w:b/>
                <w:sz w:val="24"/>
              </w:rPr>
              <w:t>大写</w:t>
            </w:r>
          </w:p>
        </w:tc>
        <w:tc>
          <w:tcPr>
            <w:tcW w:w="2710" w:type="dxa"/>
            <w:noWrap w:val="0"/>
            <w:vAlign w:val="center"/>
          </w:tcPr>
          <w:p w14:paraId="69FB4FC6">
            <w:pPr>
              <w:tabs>
                <w:tab w:val="left" w:pos="5580"/>
              </w:tabs>
              <w:jc w:val="center"/>
              <w:rPr>
                <w:b/>
                <w:sz w:val="24"/>
              </w:rPr>
            </w:pPr>
            <w:r>
              <w:rPr>
                <w:rFonts w:hint="eastAsia"/>
                <w:b/>
                <w:sz w:val="24"/>
              </w:rPr>
              <w:t>小写</w:t>
            </w:r>
          </w:p>
        </w:tc>
      </w:tr>
      <w:tr w14:paraId="1D93F9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896" w:type="dxa"/>
            <w:noWrap w:val="0"/>
            <w:vAlign w:val="center"/>
          </w:tcPr>
          <w:p w14:paraId="4AD66DBA">
            <w:pPr>
              <w:tabs>
                <w:tab w:val="left" w:pos="5580"/>
              </w:tabs>
              <w:jc w:val="center"/>
              <w:rPr>
                <w:sz w:val="24"/>
              </w:rPr>
            </w:pPr>
          </w:p>
        </w:tc>
        <w:tc>
          <w:tcPr>
            <w:tcW w:w="2426" w:type="dxa"/>
            <w:noWrap w:val="0"/>
            <w:vAlign w:val="center"/>
          </w:tcPr>
          <w:p w14:paraId="0223094E">
            <w:pPr>
              <w:tabs>
                <w:tab w:val="left" w:pos="5580"/>
              </w:tabs>
              <w:jc w:val="center"/>
              <w:rPr>
                <w:sz w:val="24"/>
              </w:rPr>
            </w:pPr>
          </w:p>
        </w:tc>
        <w:tc>
          <w:tcPr>
            <w:tcW w:w="2437" w:type="dxa"/>
            <w:noWrap w:val="0"/>
            <w:vAlign w:val="center"/>
          </w:tcPr>
          <w:p w14:paraId="419016EF">
            <w:pPr>
              <w:tabs>
                <w:tab w:val="left" w:pos="5580"/>
              </w:tabs>
              <w:jc w:val="center"/>
              <w:rPr>
                <w:sz w:val="24"/>
              </w:rPr>
            </w:pPr>
          </w:p>
        </w:tc>
        <w:tc>
          <w:tcPr>
            <w:tcW w:w="2710" w:type="dxa"/>
            <w:noWrap w:val="0"/>
            <w:vAlign w:val="center"/>
          </w:tcPr>
          <w:p w14:paraId="139A36A4">
            <w:pPr>
              <w:tabs>
                <w:tab w:val="left" w:pos="5580"/>
              </w:tabs>
              <w:jc w:val="center"/>
              <w:rPr>
                <w:sz w:val="24"/>
              </w:rPr>
            </w:pPr>
          </w:p>
        </w:tc>
      </w:tr>
    </w:tbl>
    <w:p w14:paraId="263D69E9">
      <w:pPr>
        <w:jc w:val="left"/>
        <w:rPr>
          <w:color w:val="000000"/>
          <w:sz w:val="24"/>
        </w:rPr>
      </w:pPr>
    </w:p>
    <w:p w14:paraId="389AF19A">
      <w:pPr>
        <w:jc w:val="left"/>
        <w:rPr>
          <w:color w:val="000000"/>
          <w:sz w:val="24"/>
          <w:szCs w:val="20"/>
        </w:rPr>
      </w:pPr>
      <w:r>
        <w:rPr>
          <w:color w:val="000000"/>
          <w:sz w:val="24"/>
        </w:rPr>
        <w:t>注：1</w:t>
      </w:r>
      <w:r>
        <w:rPr>
          <w:color w:val="000000"/>
          <w:sz w:val="24"/>
          <w:szCs w:val="20"/>
        </w:rPr>
        <w:t>.此表中，每包的报价应和《分项报价表》中的总价相一致。</w:t>
      </w:r>
    </w:p>
    <w:p w14:paraId="1956EFFC">
      <w:pPr>
        <w:tabs>
          <w:tab w:val="left" w:pos="5580"/>
        </w:tabs>
        <w:ind w:firstLine="480"/>
        <w:rPr>
          <w:color w:val="000000"/>
          <w:sz w:val="24"/>
          <w:szCs w:val="20"/>
        </w:rPr>
      </w:pPr>
      <w:r>
        <w:rPr>
          <w:color w:val="000000"/>
          <w:sz w:val="24"/>
          <w:szCs w:val="20"/>
        </w:rPr>
        <w:t>2.本表必须按包分别填写。</w:t>
      </w:r>
    </w:p>
    <w:p w14:paraId="151FB8E3">
      <w:pPr>
        <w:spacing w:before="25" w:after="25" w:line="360" w:lineRule="auto"/>
        <w:rPr>
          <w:color w:val="000000"/>
          <w:sz w:val="24"/>
          <w:lang w:val="zh-CN"/>
        </w:rPr>
      </w:pPr>
    </w:p>
    <w:p w14:paraId="667A6533">
      <w:pPr>
        <w:spacing w:before="25" w:after="25" w:line="360" w:lineRule="auto"/>
        <w:rPr>
          <w:color w:val="000000"/>
          <w:sz w:val="24"/>
          <w:lang w:val="zh-CN"/>
        </w:rPr>
      </w:pPr>
      <w:r>
        <w:rPr>
          <w:color w:val="000000"/>
          <w:sz w:val="24"/>
          <w:lang w:val="zh-CN"/>
        </w:rPr>
        <w:t xml:space="preserve">                         </w:t>
      </w:r>
    </w:p>
    <w:p w14:paraId="65429211">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0971E3EE">
      <w:pPr>
        <w:spacing w:before="25" w:after="25" w:line="360" w:lineRule="auto"/>
        <w:rPr>
          <w:color w:val="000000"/>
          <w:sz w:val="24"/>
          <w:lang w:val="zh-CN"/>
        </w:rPr>
      </w:pPr>
      <w:r>
        <w:rPr>
          <w:color w:val="000000"/>
          <w:sz w:val="24"/>
          <w:szCs w:val="20"/>
        </w:rPr>
        <w:t xml:space="preserve">日期：_____年______月______日   </w:t>
      </w:r>
    </w:p>
    <w:p w14:paraId="40108C35">
      <w:pPr>
        <w:widowControl/>
        <w:jc w:val="left"/>
        <w:rPr>
          <w:rFonts w:hint="eastAsia"/>
          <w:b/>
          <w:i/>
          <w:color w:val="FF0000"/>
          <w:sz w:val="24"/>
        </w:rPr>
      </w:pPr>
      <w:bookmarkStart w:id="671" w:name="_Toc127151562"/>
      <w:bookmarkStart w:id="672" w:name="_Toc264969252"/>
      <w:bookmarkStart w:id="673" w:name="_Toc226965835"/>
      <w:bookmarkStart w:id="674" w:name="_Toc305158904"/>
      <w:bookmarkStart w:id="675" w:name="_Toc265228400"/>
      <w:bookmarkStart w:id="676" w:name="_Toc142311062"/>
      <w:bookmarkStart w:id="677" w:name="_Toc150774765"/>
      <w:bookmarkStart w:id="678" w:name="_Toc150480798"/>
      <w:bookmarkStart w:id="679" w:name="_Toc226309806"/>
      <w:bookmarkStart w:id="680" w:name="_Toc226965752"/>
      <w:bookmarkStart w:id="681" w:name="_Toc226337258"/>
      <w:bookmarkStart w:id="682" w:name="_Toc305158830"/>
      <w:bookmarkStart w:id="683" w:name="_Toc195842927"/>
      <w:bookmarkStart w:id="684" w:name="_Toc195842926"/>
      <w:bookmarkStart w:id="685" w:name="_Toc226337257"/>
      <w:bookmarkStart w:id="686" w:name="_Toc150774764"/>
      <w:bookmarkStart w:id="687" w:name="_Toc305158903"/>
      <w:bookmarkStart w:id="688" w:name="_Toc305158829"/>
      <w:bookmarkStart w:id="689" w:name="_Toc150480797"/>
      <w:bookmarkStart w:id="690" w:name="_Toc127151561"/>
      <w:bookmarkStart w:id="691" w:name="_Toc226309805"/>
      <w:bookmarkStart w:id="692" w:name="_Toc264969251"/>
      <w:bookmarkStart w:id="693" w:name="_Toc226965834"/>
      <w:bookmarkStart w:id="694" w:name="_Toc226965751"/>
      <w:bookmarkStart w:id="695" w:name="_Toc265228399"/>
      <w:bookmarkStart w:id="696" w:name="_Toc142311061"/>
    </w:p>
    <w:p w14:paraId="68956450">
      <w:pPr>
        <w:pStyle w:val="184"/>
        <w:rPr>
          <w:rFonts w:hint="eastAsia"/>
          <w:b w:val="0"/>
          <w:i/>
          <w:color w:val="FF0000"/>
          <w:sz w:val="24"/>
        </w:rPr>
      </w:pPr>
    </w:p>
    <w:p w14:paraId="25428818">
      <w:pPr>
        <w:pStyle w:val="204"/>
        <w:rPr>
          <w:rFonts w:hint="eastAsia"/>
          <w:b/>
          <w:i/>
          <w:color w:val="FF0000"/>
          <w:sz w:val="24"/>
        </w:rPr>
      </w:pPr>
    </w:p>
    <w:p w14:paraId="20A463CB">
      <w:pPr>
        <w:rPr>
          <w:rFonts w:hint="eastAsia"/>
          <w:b/>
          <w:i/>
          <w:color w:val="FF0000"/>
          <w:sz w:val="24"/>
        </w:rPr>
      </w:pPr>
    </w:p>
    <w:p w14:paraId="141239A8">
      <w:pPr>
        <w:pStyle w:val="184"/>
        <w:rPr>
          <w:rFonts w:hint="eastAsia"/>
          <w:b w:val="0"/>
          <w:i/>
          <w:color w:val="FF0000"/>
          <w:sz w:val="24"/>
        </w:rPr>
      </w:pPr>
    </w:p>
    <w:p w14:paraId="3D5C352D">
      <w:pPr>
        <w:pStyle w:val="204"/>
        <w:rPr>
          <w:rFonts w:hint="eastAsia"/>
          <w:b/>
          <w:i/>
          <w:color w:val="FF0000"/>
          <w:sz w:val="24"/>
        </w:rPr>
      </w:pPr>
    </w:p>
    <w:p w14:paraId="45BFBBE5">
      <w:pPr>
        <w:rPr>
          <w:rFonts w:hint="eastAsia"/>
          <w:b/>
          <w:i/>
          <w:color w:val="FF0000"/>
          <w:sz w:val="24"/>
        </w:rPr>
      </w:pPr>
    </w:p>
    <w:p w14:paraId="0776BDC1">
      <w:pPr>
        <w:pStyle w:val="184"/>
        <w:rPr>
          <w:rFonts w:hint="eastAsia"/>
          <w:b w:val="0"/>
          <w:i/>
          <w:color w:val="FF0000"/>
          <w:sz w:val="24"/>
        </w:rPr>
      </w:pPr>
    </w:p>
    <w:p w14:paraId="3985CA7F">
      <w:pPr>
        <w:pStyle w:val="204"/>
        <w:rPr>
          <w:rFonts w:hint="eastAsia"/>
          <w:b/>
          <w:i/>
          <w:color w:val="FF0000"/>
          <w:sz w:val="24"/>
        </w:rPr>
      </w:pPr>
    </w:p>
    <w:p w14:paraId="27958DC9">
      <w:pPr>
        <w:rPr>
          <w:rFonts w:hint="eastAsia"/>
          <w:b/>
          <w:i/>
          <w:color w:val="FF0000"/>
          <w:sz w:val="24"/>
        </w:rPr>
      </w:pPr>
    </w:p>
    <w:p w14:paraId="53275499">
      <w:pPr>
        <w:pStyle w:val="184"/>
        <w:rPr>
          <w:rFonts w:hint="eastAsia"/>
          <w:b w:val="0"/>
          <w:i/>
          <w:color w:val="FF0000"/>
          <w:sz w:val="24"/>
        </w:rPr>
      </w:pPr>
    </w:p>
    <w:p w14:paraId="33384D6D">
      <w:pPr>
        <w:pStyle w:val="204"/>
        <w:rPr>
          <w:rFonts w:hint="eastAsia"/>
          <w:b/>
          <w:i/>
          <w:color w:val="FF0000"/>
          <w:sz w:val="24"/>
        </w:rPr>
      </w:pPr>
    </w:p>
    <w:p w14:paraId="6E0407F0">
      <w:pPr>
        <w:rPr>
          <w:rFonts w:hint="eastAsia"/>
          <w:b/>
          <w:i/>
          <w:color w:val="FF0000"/>
          <w:sz w:val="24"/>
        </w:rPr>
      </w:pPr>
    </w:p>
    <w:p w14:paraId="67A47F19">
      <w:pPr>
        <w:pStyle w:val="184"/>
        <w:rPr>
          <w:rFonts w:hint="eastAsia"/>
          <w:b w:val="0"/>
          <w:i/>
          <w:color w:val="FF0000"/>
          <w:sz w:val="24"/>
        </w:rPr>
      </w:pPr>
    </w:p>
    <w:p w14:paraId="4BD2311E">
      <w:pPr>
        <w:pStyle w:val="204"/>
        <w:rPr>
          <w:rFonts w:hint="eastAsia"/>
          <w:b/>
          <w:i/>
          <w:color w:val="FF0000"/>
          <w:sz w:val="24"/>
        </w:rPr>
      </w:pPr>
    </w:p>
    <w:p w14:paraId="55577351">
      <w:pPr>
        <w:rPr>
          <w:rFonts w:hint="eastAsia"/>
          <w:b/>
          <w:i/>
          <w:color w:val="FF0000"/>
          <w:sz w:val="24"/>
        </w:rPr>
      </w:pPr>
    </w:p>
    <w:p w14:paraId="265735B5">
      <w:pPr>
        <w:pStyle w:val="184"/>
        <w:rPr>
          <w:rFonts w:hint="eastAsia"/>
          <w:b w:val="0"/>
          <w:i/>
          <w:color w:val="FF0000"/>
          <w:sz w:val="24"/>
        </w:rPr>
      </w:pPr>
    </w:p>
    <w:p w14:paraId="51A8DA70">
      <w:pPr>
        <w:pStyle w:val="204"/>
        <w:rPr>
          <w:rFonts w:hint="eastAsia"/>
          <w:b/>
          <w:i/>
          <w:color w:val="FF0000"/>
          <w:sz w:val="24"/>
        </w:rPr>
      </w:pPr>
    </w:p>
    <w:p w14:paraId="66AFE470">
      <w:pPr>
        <w:rPr>
          <w:rFonts w:hint="eastAsia"/>
          <w:b/>
          <w:i/>
          <w:color w:val="FF0000"/>
          <w:sz w:val="24"/>
        </w:rPr>
      </w:pPr>
    </w:p>
    <w:p w14:paraId="6F6394F2">
      <w:pPr>
        <w:pStyle w:val="184"/>
        <w:jc w:val="both"/>
        <w:rPr>
          <w:rFonts w:hint="eastAsia" w:ascii="Times New Roman" w:hAnsi="Times New Roman" w:eastAsia="宋体" w:cs="Times New Roman"/>
          <w:b w:val="0"/>
          <w:color w:val="000000"/>
          <w:sz w:val="24"/>
          <w:szCs w:val="20"/>
          <w:lang w:val="en-US" w:eastAsia="zh-CN" w:bidi="ar-SA"/>
        </w:rPr>
      </w:pPr>
      <w:r>
        <w:rPr>
          <w:rFonts w:hint="eastAsia" w:ascii="Times New Roman" w:hAnsi="Times New Roman" w:eastAsia="宋体" w:cs="Times New Roman"/>
          <w:b w:val="0"/>
          <w:color w:val="000000"/>
          <w:sz w:val="24"/>
          <w:szCs w:val="20"/>
          <w:lang w:val="en-US" w:eastAsia="zh-CN" w:bidi="ar-SA"/>
        </w:rPr>
        <w:t>7 分项报价表</w:t>
      </w:r>
    </w:p>
    <w:tbl>
      <w:tblPr>
        <w:tblStyle w:val="2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58"/>
        <w:gridCol w:w="2496"/>
        <w:gridCol w:w="2286"/>
        <w:gridCol w:w="1742"/>
        <w:gridCol w:w="1706"/>
      </w:tblGrid>
      <w:tr w14:paraId="196BC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667"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B37F8">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b/>
                <w:bCs/>
                <w:i w:val="0"/>
                <w:iCs w:val="0"/>
                <w:color w:val="auto"/>
                <w:kern w:val="0"/>
                <w:sz w:val="28"/>
                <w:szCs w:val="28"/>
                <w:u w:val="none"/>
                <w:lang w:val="en-US" w:eastAsia="zh-CN" w:bidi="ar"/>
              </w:rPr>
              <w:t>埭头镇镇区绿化一级养护</w:t>
            </w:r>
          </w:p>
        </w:tc>
      </w:tr>
      <w:tr w14:paraId="00CD3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FE9E8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序号</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FFE26B">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道路名称</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10EEE">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第三方实测面积（</w:t>
            </w:r>
            <w:r>
              <w:rPr>
                <w:rFonts w:hint="eastAsia"/>
                <w:color w:val="auto"/>
                <w:sz w:val="22"/>
                <w:szCs w:val="22"/>
              </w:rPr>
              <w:t>㎡</w:t>
            </w:r>
            <w:r>
              <w:rPr>
                <w:color w:val="auto"/>
                <w:sz w:val="22"/>
                <w:szCs w:val="22"/>
              </w:rPr>
              <w:t>）</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590D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单价</w:t>
            </w:r>
          </w:p>
          <w:p w14:paraId="067FD6E4">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（元/㎡）</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5C102">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合计（元）</w:t>
            </w:r>
          </w:p>
        </w:tc>
      </w:tr>
      <w:tr w14:paraId="57DE2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F7B1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0CE14">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人民路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308C5">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5509.36</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11E66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E8126">
            <w:pPr>
              <w:rPr>
                <w:rFonts w:hint="eastAsia" w:ascii="宋体" w:hAnsi="宋体" w:eastAsia="宋体" w:cs="宋体"/>
                <w:i w:val="0"/>
                <w:iCs w:val="0"/>
                <w:color w:val="auto"/>
                <w:sz w:val="22"/>
                <w:szCs w:val="22"/>
                <w:u w:val="none"/>
              </w:rPr>
            </w:pPr>
          </w:p>
        </w:tc>
      </w:tr>
      <w:tr w14:paraId="483BC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8C278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2</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9DC32E">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埭</w:t>
            </w:r>
            <w:r>
              <w:rPr>
                <w:color w:val="auto"/>
                <w:sz w:val="22"/>
                <w:szCs w:val="22"/>
              </w:rPr>
              <w:t>头公园政府广场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5CEC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30551.26</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327FF">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4B1D4">
            <w:pPr>
              <w:rPr>
                <w:rFonts w:hint="eastAsia" w:ascii="宋体" w:hAnsi="宋体" w:eastAsia="宋体" w:cs="宋体"/>
                <w:i w:val="0"/>
                <w:iCs w:val="0"/>
                <w:color w:val="auto"/>
                <w:sz w:val="22"/>
                <w:szCs w:val="22"/>
                <w:u w:val="none"/>
              </w:rPr>
            </w:pPr>
          </w:p>
        </w:tc>
      </w:tr>
      <w:tr w14:paraId="51D571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6F56D">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B186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前圩路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5A00D">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4898.52</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9192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59BCE5">
            <w:pPr>
              <w:rPr>
                <w:rFonts w:hint="eastAsia" w:ascii="宋体" w:hAnsi="宋体" w:eastAsia="宋体" w:cs="宋体"/>
                <w:i w:val="0"/>
                <w:iCs w:val="0"/>
                <w:color w:val="auto"/>
                <w:sz w:val="22"/>
                <w:szCs w:val="22"/>
                <w:u w:val="none"/>
              </w:rPr>
            </w:pPr>
          </w:p>
        </w:tc>
      </w:tr>
      <w:tr w14:paraId="29576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0246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4</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3B6B3">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埭</w:t>
            </w:r>
            <w:r>
              <w:rPr>
                <w:color w:val="auto"/>
                <w:sz w:val="22"/>
                <w:szCs w:val="22"/>
              </w:rPr>
              <w:t>中路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F3C8">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3357.27</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C3AC4">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7303BA">
            <w:pPr>
              <w:rPr>
                <w:rFonts w:hint="eastAsia" w:ascii="宋体" w:hAnsi="宋体" w:eastAsia="宋体" w:cs="宋体"/>
                <w:i w:val="0"/>
                <w:iCs w:val="0"/>
                <w:color w:val="auto"/>
                <w:sz w:val="22"/>
                <w:szCs w:val="22"/>
                <w:u w:val="none"/>
              </w:rPr>
            </w:pPr>
          </w:p>
        </w:tc>
      </w:tr>
      <w:tr w14:paraId="7D1A4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22A5D">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D6CD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皇母苑广场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14F06">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1212.55</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17C11">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85DB4C">
            <w:pPr>
              <w:rPr>
                <w:rFonts w:hint="eastAsia" w:ascii="宋体" w:hAnsi="宋体" w:eastAsia="宋体" w:cs="宋体"/>
                <w:i w:val="0"/>
                <w:iCs w:val="0"/>
                <w:color w:val="auto"/>
                <w:sz w:val="22"/>
                <w:szCs w:val="22"/>
                <w:u w:val="none"/>
              </w:rPr>
            </w:pPr>
          </w:p>
        </w:tc>
      </w:tr>
      <w:tr w14:paraId="676FF5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4"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191C74">
            <w:pPr>
              <w:jc w:val="center"/>
              <w:rPr>
                <w:rFonts w:hint="eastAsia" w:ascii="宋体" w:hAnsi="宋体" w:eastAsia="宋体" w:cs="宋体"/>
                <w:b/>
                <w:bCs/>
                <w:i w:val="0"/>
                <w:iCs w:val="0"/>
                <w:color w:val="auto"/>
                <w:sz w:val="22"/>
                <w:szCs w:val="22"/>
                <w:u w:val="none"/>
                <w:lang w:val="en-US" w:eastAsia="zh-CN" w:bidi="ar-SA"/>
              </w:rPr>
            </w:pPr>
            <w:r>
              <w:rPr>
                <w:rFonts w:hint="eastAsia" w:ascii="宋体" w:hAnsi="宋体" w:cs="宋体"/>
                <w:b/>
                <w:bCs/>
                <w:i w:val="0"/>
                <w:iCs w:val="0"/>
                <w:color w:val="auto"/>
                <w:sz w:val="22"/>
                <w:szCs w:val="22"/>
                <w:u w:val="none"/>
                <w:lang w:val="en-US" w:eastAsia="zh-CN"/>
              </w:rPr>
              <w:t>（一）</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0BE23">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bidi="ar-SA"/>
              </w:rPr>
            </w:pPr>
            <w:r>
              <w:rPr>
                <w:rFonts w:hint="eastAsia" w:ascii="宋体" w:hAnsi="宋体" w:eastAsia="宋体" w:cs="宋体"/>
                <w:b/>
                <w:bCs/>
                <w:i w:val="0"/>
                <w:iCs w:val="0"/>
                <w:color w:val="auto"/>
                <w:kern w:val="0"/>
                <w:sz w:val="22"/>
                <w:szCs w:val="22"/>
                <w:u w:val="none"/>
                <w:lang w:val="en-US" w:eastAsia="zh-CN" w:bidi="ar"/>
              </w:rPr>
              <w:t>小计</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636F96">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b/>
                <w:bCs/>
                <w:color w:val="auto"/>
                <w:sz w:val="22"/>
                <w:szCs w:val="22"/>
              </w:rPr>
              <w:t>45528.96</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30672">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rPr>
            </w:pPr>
            <w:r>
              <w:rPr>
                <w:rFonts w:hint="eastAsia" w:ascii="宋体" w:hAnsi="宋体" w:cs="宋体"/>
                <w:b/>
                <w:bCs/>
                <w:i w:val="0"/>
                <w:iCs w:val="0"/>
                <w:color w:val="auto"/>
                <w:sz w:val="22"/>
                <w:szCs w:val="22"/>
                <w:u w:val="none"/>
                <w:lang w:val="en-US" w:eastAsia="zh-CN"/>
              </w:rPr>
              <w:t>/</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6758">
            <w:pPr>
              <w:rPr>
                <w:rFonts w:hint="eastAsia" w:ascii="宋体" w:hAnsi="宋体" w:eastAsia="宋体" w:cs="宋体"/>
                <w:i w:val="0"/>
                <w:iCs w:val="0"/>
                <w:color w:val="auto"/>
                <w:sz w:val="22"/>
                <w:szCs w:val="22"/>
                <w:u w:val="none"/>
              </w:rPr>
            </w:pPr>
          </w:p>
        </w:tc>
      </w:tr>
      <w:tr w14:paraId="2515F9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5000" w:type="pct"/>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575E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8"/>
                <w:szCs w:val="28"/>
                <w:u w:val="none"/>
                <w:lang w:val="en-US" w:eastAsia="zh-CN" w:bidi="ar"/>
              </w:rPr>
              <w:t>埭头镇镇区绿化二级养护</w:t>
            </w:r>
          </w:p>
        </w:tc>
      </w:tr>
      <w:tr w14:paraId="601959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4FB3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序号</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338137">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道路名称</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BA1CD">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第三方实测面积（</w:t>
            </w:r>
            <w:r>
              <w:rPr>
                <w:rFonts w:hint="eastAsia"/>
                <w:color w:val="auto"/>
                <w:sz w:val="22"/>
                <w:szCs w:val="22"/>
              </w:rPr>
              <w:t>㎡</w:t>
            </w:r>
            <w:r>
              <w:rPr>
                <w:color w:val="auto"/>
                <w:sz w:val="22"/>
                <w:szCs w:val="22"/>
              </w:rPr>
              <w:t>）</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CA031">
            <w:pPr>
              <w:keepNext w:val="0"/>
              <w:keepLines w:val="0"/>
              <w:widowControl/>
              <w:suppressLineNumbers w:val="0"/>
              <w:jc w:val="center"/>
              <w:textAlignment w:val="center"/>
              <w:rPr>
                <w:rFonts w:hint="eastAsia" w:ascii="宋体" w:hAnsi="宋体" w:eastAsia="宋体" w:cs="宋体"/>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单价</w:t>
            </w:r>
          </w:p>
          <w:p w14:paraId="22685908">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（元/㎡）</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650D58">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r>
              <w:rPr>
                <w:rFonts w:hint="eastAsia" w:ascii="宋体" w:hAnsi="宋体" w:eastAsia="宋体" w:cs="宋体"/>
                <w:i w:val="0"/>
                <w:iCs w:val="0"/>
                <w:color w:val="auto"/>
                <w:kern w:val="0"/>
                <w:sz w:val="22"/>
                <w:szCs w:val="22"/>
                <w:u w:val="none"/>
                <w:lang w:val="en-US" w:eastAsia="zh-CN" w:bidi="ar"/>
              </w:rPr>
              <w:t>合计（元）</w:t>
            </w:r>
          </w:p>
        </w:tc>
      </w:tr>
      <w:tr w14:paraId="2CFA3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727955">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AE256">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画诗路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1E7B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20805.42</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18DF63">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3C6C2">
            <w:pPr>
              <w:jc w:val="center"/>
              <w:rPr>
                <w:rFonts w:hint="eastAsia" w:ascii="宋体" w:hAnsi="宋体" w:eastAsia="宋体" w:cs="宋体"/>
                <w:i w:val="0"/>
                <w:iCs w:val="0"/>
                <w:color w:val="auto"/>
                <w:sz w:val="22"/>
                <w:szCs w:val="22"/>
                <w:u w:val="none"/>
                <w:lang w:val="en-US" w:eastAsia="zh-CN" w:bidi="ar-SA"/>
              </w:rPr>
            </w:pPr>
          </w:p>
        </w:tc>
      </w:tr>
      <w:tr w14:paraId="011C89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C79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2</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5ED0A">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埭</w:t>
            </w:r>
            <w:r>
              <w:rPr>
                <w:color w:val="auto"/>
                <w:sz w:val="22"/>
                <w:szCs w:val="22"/>
              </w:rPr>
              <w:t>中广场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28A960">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23000</w:t>
            </w:r>
            <w:r>
              <w:rPr>
                <w:rFonts w:hint="eastAsia"/>
                <w:color w:val="auto"/>
                <w:sz w:val="22"/>
                <w:szCs w:val="22"/>
                <w:lang w:eastAsia="zh-CN"/>
              </w:rPr>
              <w:t>（</w:t>
            </w:r>
            <w:r>
              <w:rPr>
                <w:rFonts w:hint="eastAsia"/>
                <w:color w:val="auto"/>
                <w:sz w:val="22"/>
                <w:szCs w:val="22"/>
                <w:lang w:val="en-US" w:eastAsia="zh-CN"/>
              </w:rPr>
              <w:t>工程养护期已到增加6000</w:t>
            </w:r>
            <w:r>
              <w:rPr>
                <w:rFonts w:hint="eastAsia"/>
                <w:color w:val="auto"/>
                <w:sz w:val="22"/>
                <w:szCs w:val="22"/>
                <w:lang w:eastAsia="zh-CN"/>
              </w:rPr>
              <w:t>）</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0A74F">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556B8F">
            <w:pPr>
              <w:jc w:val="center"/>
              <w:rPr>
                <w:rFonts w:hint="eastAsia" w:ascii="宋体" w:hAnsi="宋体" w:eastAsia="宋体" w:cs="宋体"/>
                <w:i w:val="0"/>
                <w:iCs w:val="0"/>
                <w:color w:val="auto"/>
                <w:sz w:val="22"/>
                <w:szCs w:val="22"/>
                <w:u w:val="none"/>
                <w:lang w:val="en-US" w:eastAsia="zh-CN" w:bidi="ar-SA"/>
              </w:rPr>
            </w:pPr>
          </w:p>
        </w:tc>
      </w:tr>
      <w:tr w14:paraId="2D7FE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DF95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444A4">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白塔中心村</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632C15">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27266.37</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65DAEB">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B530C">
            <w:pPr>
              <w:jc w:val="center"/>
              <w:rPr>
                <w:rFonts w:hint="eastAsia" w:ascii="宋体" w:hAnsi="宋体" w:eastAsia="宋体" w:cs="宋体"/>
                <w:i w:val="0"/>
                <w:iCs w:val="0"/>
                <w:color w:val="auto"/>
                <w:sz w:val="22"/>
                <w:szCs w:val="22"/>
                <w:u w:val="none"/>
                <w:lang w:val="en-US" w:eastAsia="zh-CN" w:bidi="ar-SA"/>
              </w:rPr>
            </w:pPr>
          </w:p>
        </w:tc>
      </w:tr>
      <w:tr w14:paraId="2482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E62294">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4</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8125E">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埭</w:t>
            </w:r>
            <w:r>
              <w:rPr>
                <w:color w:val="auto"/>
                <w:sz w:val="22"/>
                <w:szCs w:val="22"/>
              </w:rPr>
              <w:t>西新村</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B029F">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16915.23</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29255F">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D58BA">
            <w:pPr>
              <w:jc w:val="center"/>
              <w:rPr>
                <w:rFonts w:hint="eastAsia" w:ascii="宋体" w:hAnsi="宋体" w:eastAsia="宋体" w:cs="宋体"/>
                <w:i w:val="0"/>
                <w:iCs w:val="0"/>
                <w:color w:val="auto"/>
                <w:sz w:val="22"/>
                <w:szCs w:val="22"/>
                <w:u w:val="none"/>
                <w:lang w:val="en-US" w:eastAsia="zh-CN" w:bidi="ar-SA"/>
              </w:rPr>
            </w:pPr>
          </w:p>
        </w:tc>
      </w:tr>
      <w:tr w14:paraId="68716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6E391">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D3F1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江南庭院</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6FA5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5624.32</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40713B">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E40D74">
            <w:pPr>
              <w:jc w:val="center"/>
              <w:rPr>
                <w:rFonts w:hint="eastAsia" w:ascii="宋体" w:hAnsi="宋体" w:eastAsia="宋体" w:cs="宋体"/>
                <w:i w:val="0"/>
                <w:iCs w:val="0"/>
                <w:color w:val="auto"/>
                <w:sz w:val="22"/>
                <w:szCs w:val="22"/>
                <w:u w:val="none"/>
                <w:lang w:val="en-US" w:eastAsia="zh-CN" w:bidi="ar-SA"/>
              </w:rPr>
            </w:pPr>
          </w:p>
        </w:tc>
      </w:tr>
      <w:tr w14:paraId="4A92D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A9AA5">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6</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B66D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前圩新村</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D6EA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5208.55</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62361">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0FADA">
            <w:pPr>
              <w:jc w:val="center"/>
              <w:rPr>
                <w:rFonts w:hint="eastAsia" w:ascii="宋体" w:hAnsi="宋体" w:eastAsia="宋体" w:cs="宋体"/>
                <w:i w:val="0"/>
                <w:iCs w:val="0"/>
                <w:color w:val="auto"/>
                <w:sz w:val="22"/>
                <w:szCs w:val="22"/>
                <w:u w:val="none"/>
                <w:lang w:val="en-US" w:eastAsia="zh-CN" w:bidi="ar-SA"/>
              </w:rPr>
            </w:pPr>
          </w:p>
        </w:tc>
      </w:tr>
      <w:tr w14:paraId="0C1CE2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A354F">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7</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2CE68">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政府东侧滨河</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C78B1">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13557.41</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BC4C6">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97F76E">
            <w:pPr>
              <w:jc w:val="center"/>
              <w:rPr>
                <w:rFonts w:hint="eastAsia" w:ascii="宋体" w:hAnsi="宋体" w:eastAsia="宋体" w:cs="宋体"/>
                <w:i w:val="0"/>
                <w:iCs w:val="0"/>
                <w:color w:val="auto"/>
                <w:sz w:val="22"/>
                <w:szCs w:val="22"/>
                <w:u w:val="none"/>
                <w:lang w:val="en-US" w:eastAsia="zh-CN" w:bidi="ar-SA"/>
              </w:rPr>
            </w:pPr>
          </w:p>
        </w:tc>
      </w:tr>
      <w:tr w14:paraId="3606BE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9C46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8</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FFED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人民路延伸段</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EEDFB">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3049.55</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C741E">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89DDC">
            <w:pPr>
              <w:jc w:val="center"/>
              <w:rPr>
                <w:rFonts w:hint="eastAsia" w:ascii="宋体" w:hAnsi="宋体" w:eastAsia="宋体" w:cs="宋体"/>
                <w:i w:val="0"/>
                <w:iCs w:val="0"/>
                <w:color w:val="auto"/>
                <w:sz w:val="22"/>
                <w:szCs w:val="22"/>
                <w:u w:val="none"/>
                <w:lang w:val="en-US" w:eastAsia="zh-CN" w:bidi="ar-SA"/>
              </w:rPr>
            </w:pPr>
          </w:p>
        </w:tc>
      </w:tr>
      <w:tr w14:paraId="0687E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F133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11</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E4C02F">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粮店路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CEF07">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1372.68</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66120">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804B7">
            <w:pPr>
              <w:jc w:val="center"/>
              <w:rPr>
                <w:rFonts w:hint="eastAsia" w:ascii="宋体" w:hAnsi="宋体" w:eastAsia="宋体" w:cs="宋体"/>
                <w:i w:val="0"/>
                <w:iCs w:val="0"/>
                <w:color w:val="auto"/>
                <w:sz w:val="22"/>
                <w:szCs w:val="22"/>
                <w:u w:val="none"/>
                <w:lang w:val="en-US" w:eastAsia="zh-CN" w:bidi="ar-SA"/>
              </w:rPr>
            </w:pPr>
          </w:p>
        </w:tc>
      </w:tr>
      <w:tr w14:paraId="015B0F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D993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12</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40ACE">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骏益东路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BF1238">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3360.39</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515D3">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09E94">
            <w:pPr>
              <w:jc w:val="center"/>
              <w:rPr>
                <w:rFonts w:hint="eastAsia" w:ascii="宋体" w:hAnsi="宋体" w:eastAsia="宋体" w:cs="宋体"/>
                <w:i w:val="0"/>
                <w:iCs w:val="0"/>
                <w:color w:val="auto"/>
                <w:sz w:val="22"/>
                <w:szCs w:val="22"/>
                <w:u w:val="none"/>
                <w:lang w:val="en-US" w:eastAsia="zh-CN" w:bidi="ar-SA"/>
              </w:rPr>
            </w:pPr>
          </w:p>
        </w:tc>
      </w:tr>
      <w:tr w14:paraId="286981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E025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13</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526A2">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骏益南路</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54882">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4050.61</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BE1817">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6CF20F">
            <w:pPr>
              <w:jc w:val="center"/>
              <w:rPr>
                <w:rFonts w:hint="eastAsia" w:ascii="宋体" w:hAnsi="宋体" w:eastAsia="宋体" w:cs="宋体"/>
                <w:i w:val="0"/>
                <w:iCs w:val="0"/>
                <w:color w:val="auto"/>
                <w:sz w:val="22"/>
                <w:szCs w:val="22"/>
                <w:u w:val="none"/>
                <w:lang w:val="en-US" w:eastAsia="zh-CN" w:bidi="ar-SA"/>
              </w:rPr>
            </w:pPr>
          </w:p>
        </w:tc>
      </w:tr>
      <w:tr w14:paraId="1826B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5F26A">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14</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8998B">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小学西侧</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EF4AE">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288</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FE9A13">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6DC9F4">
            <w:pPr>
              <w:jc w:val="center"/>
              <w:rPr>
                <w:rFonts w:hint="eastAsia" w:ascii="宋体" w:hAnsi="宋体" w:eastAsia="宋体" w:cs="宋体"/>
                <w:i w:val="0"/>
                <w:iCs w:val="0"/>
                <w:color w:val="auto"/>
                <w:sz w:val="22"/>
                <w:szCs w:val="22"/>
                <w:u w:val="none"/>
                <w:lang w:val="en-US" w:eastAsia="zh-CN" w:bidi="ar-SA"/>
              </w:rPr>
            </w:pPr>
          </w:p>
        </w:tc>
      </w:tr>
      <w:tr w14:paraId="02C7AE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3E8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15</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DAF7A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中心幼儿园周边</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8E2C3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1830</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70B34">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1F1C79">
            <w:pPr>
              <w:jc w:val="center"/>
              <w:rPr>
                <w:rFonts w:hint="eastAsia" w:ascii="宋体" w:hAnsi="宋体" w:eastAsia="宋体" w:cs="宋体"/>
                <w:i w:val="0"/>
                <w:iCs w:val="0"/>
                <w:color w:val="auto"/>
                <w:sz w:val="22"/>
                <w:szCs w:val="22"/>
                <w:u w:val="none"/>
                <w:lang w:val="en-US" w:eastAsia="zh-CN" w:bidi="ar-SA"/>
              </w:rPr>
            </w:pPr>
          </w:p>
        </w:tc>
      </w:tr>
      <w:tr w14:paraId="72980A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8714D9">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16</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70FDF">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春芽广场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0E6C0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5802.34</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BEE1A">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57B83A">
            <w:pPr>
              <w:jc w:val="center"/>
              <w:rPr>
                <w:rFonts w:hint="eastAsia" w:ascii="宋体" w:hAnsi="宋体" w:eastAsia="宋体" w:cs="宋体"/>
                <w:i w:val="0"/>
                <w:iCs w:val="0"/>
                <w:color w:val="auto"/>
                <w:sz w:val="22"/>
                <w:szCs w:val="22"/>
                <w:u w:val="none"/>
                <w:lang w:val="en-US" w:eastAsia="zh-CN" w:bidi="ar-SA"/>
              </w:rPr>
            </w:pPr>
          </w:p>
        </w:tc>
      </w:tr>
      <w:tr w14:paraId="340639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F2F153">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17</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10BAD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西路西侧</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63FC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4215.43</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BD2025">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3D4CD8">
            <w:pPr>
              <w:jc w:val="center"/>
              <w:rPr>
                <w:rFonts w:hint="eastAsia" w:ascii="宋体" w:hAnsi="宋体" w:eastAsia="宋体" w:cs="宋体"/>
                <w:i w:val="0"/>
                <w:iCs w:val="0"/>
                <w:color w:val="auto"/>
                <w:sz w:val="22"/>
                <w:szCs w:val="22"/>
                <w:u w:val="none"/>
                <w:lang w:val="en-US" w:eastAsia="zh-CN" w:bidi="ar-SA"/>
              </w:rPr>
            </w:pPr>
          </w:p>
        </w:tc>
      </w:tr>
      <w:tr w14:paraId="232480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1B944">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18</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B8B419">
            <w:pPr>
              <w:spacing w:after="0" w:line="288" w:lineRule="auto"/>
              <w:jc w:val="center"/>
              <w:rPr>
                <w:rFonts w:hint="eastAsia" w:ascii="Times New Roman" w:hAnsi="Times New Roman" w:eastAsia="宋体" w:cs="Times New Roman"/>
                <w:color w:val="auto"/>
                <w:sz w:val="22"/>
                <w:szCs w:val="22"/>
                <w:lang w:val="en-US" w:eastAsia="zh-CN" w:bidi="ar-SA"/>
              </w:rPr>
            </w:pPr>
            <w:r>
              <w:rPr>
                <w:rFonts w:hint="eastAsia"/>
                <w:color w:val="auto"/>
                <w:sz w:val="22"/>
                <w:szCs w:val="22"/>
                <w:lang w:val="en-US" w:eastAsia="zh-CN"/>
              </w:rPr>
              <w:t>埭</w:t>
            </w:r>
            <w:r>
              <w:rPr>
                <w:color w:val="auto"/>
                <w:sz w:val="22"/>
                <w:szCs w:val="22"/>
              </w:rPr>
              <w:t>头后中广场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2E97C">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6570.42</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BE68E">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61F61">
            <w:pPr>
              <w:jc w:val="center"/>
              <w:rPr>
                <w:rFonts w:hint="eastAsia" w:ascii="宋体" w:hAnsi="宋体" w:eastAsia="宋体" w:cs="宋体"/>
                <w:i w:val="0"/>
                <w:iCs w:val="0"/>
                <w:color w:val="auto"/>
                <w:sz w:val="22"/>
                <w:szCs w:val="22"/>
                <w:u w:val="none"/>
                <w:lang w:val="en-US" w:eastAsia="zh-CN" w:bidi="ar-SA"/>
              </w:rPr>
            </w:pPr>
          </w:p>
        </w:tc>
      </w:tr>
      <w:tr w14:paraId="36FED3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5AF19">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19</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87630">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尚购广场</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4D165E">
            <w:pPr>
              <w:spacing w:after="0" w:line="288" w:lineRule="auto"/>
              <w:jc w:val="center"/>
              <w:rPr>
                <w:rFonts w:hint="eastAsia" w:ascii="Times New Roman" w:hAnsi="Times New Roman" w:eastAsia="宋体" w:cs="Times New Roman"/>
                <w:color w:val="auto"/>
                <w:sz w:val="22"/>
                <w:szCs w:val="22"/>
                <w:lang w:val="en-US" w:eastAsia="zh-CN" w:bidi="ar-SA"/>
              </w:rPr>
            </w:pPr>
            <w:r>
              <w:rPr>
                <w:color w:val="auto"/>
                <w:sz w:val="22"/>
                <w:szCs w:val="22"/>
              </w:rPr>
              <w:t>18112.36</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4FC9E">
            <w:pPr>
              <w:keepNext w:val="0"/>
              <w:keepLines w:val="0"/>
              <w:widowControl/>
              <w:suppressLineNumbers w:val="0"/>
              <w:jc w:val="center"/>
              <w:textAlignment w:val="center"/>
              <w:rPr>
                <w:rFonts w:hint="eastAsia" w:ascii="宋体" w:hAnsi="宋体" w:eastAsia="宋体" w:cs="宋体"/>
                <w:i w:val="0"/>
                <w:iCs w:val="0"/>
                <w:color w:val="auto"/>
                <w:sz w:val="22"/>
                <w:szCs w:val="22"/>
                <w:u w:val="none"/>
                <w:lang w:val="en-US" w:eastAsia="zh-CN" w:bidi="ar-SA"/>
              </w:rPr>
            </w:pP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87D24C">
            <w:pPr>
              <w:jc w:val="center"/>
              <w:rPr>
                <w:rFonts w:hint="eastAsia" w:ascii="宋体" w:hAnsi="宋体" w:eastAsia="宋体" w:cs="宋体"/>
                <w:i w:val="0"/>
                <w:iCs w:val="0"/>
                <w:color w:val="auto"/>
                <w:sz w:val="22"/>
                <w:szCs w:val="22"/>
                <w:u w:val="none"/>
                <w:lang w:val="en-US" w:eastAsia="zh-CN" w:bidi="ar-SA"/>
              </w:rPr>
            </w:pPr>
          </w:p>
        </w:tc>
      </w:tr>
      <w:tr w14:paraId="37DE7D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175EB">
            <w:pPr>
              <w:jc w:val="center"/>
              <w:rPr>
                <w:rFonts w:hint="eastAsia" w:ascii="宋体" w:hAnsi="宋体" w:eastAsia="宋体" w:cs="宋体"/>
                <w:b/>
                <w:bCs/>
                <w:i w:val="0"/>
                <w:iCs w:val="0"/>
                <w:color w:val="auto"/>
                <w:sz w:val="22"/>
                <w:szCs w:val="22"/>
                <w:u w:val="none"/>
                <w:lang w:val="en-US" w:eastAsia="zh-CN" w:bidi="ar-SA"/>
              </w:rPr>
            </w:pPr>
            <w:r>
              <w:rPr>
                <w:rFonts w:hint="eastAsia" w:ascii="宋体" w:hAnsi="宋体" w:cs="宋体"/>
                <w:b/>
                <w:bCs/>
                <w:i w:val="0"/>
                <w:iCs w:val="0"/>
                <w:color w:val="auto"/>
                <w:sz w:val="22"/>
                <w:szCs w:val="22"/>
                <w:u w:val="none"/>
                <w:lang w:eastAsia="zh-CN"/>
              </w:rPr>
              <w:t>（</w:t>
            </w:r>
            <w:r>
              <w:rPr>
                <w:rFonts w:hint="eastAsia" w:ascii="宋体" w:hAnsi="宋体" w:cs="宋体"/>
                <w:b/>
                <w:bCs/>
                <w:i w:val="0"/>
                <w:iCs w:val="0"/>
                <w:color w:val="auto"/>
                <w:sz w:val="22"/>
                <w:szCs w:val="22"/>
                <w:u w:val="none"/>
                <w:lang w:val="en-US" w:eastAsia="zh-CN"/>
              </w:rPr>
              <w:t>二</w:t>
            </w:r>
            <w:r>
              <w:rPr>
                <w:rFonts w:hint="eastAsia" w:ascii="宋体" w:hAnsi="宋体" w:cs="宋体"/>
                <w:b/>
                <w:bCs/>
                <w:i w:val="0"/>
                <w:iCs w:val="0"/>
                <w:color w:val="auto"/>
                <w:sz w:val="22"/>
                <w:szCs w:val="22"/>
                <w:u w:val="none"/>
                <w:lang w:eastAsia="zh-CN"/>
              </w:rPr>
              <w:t>）</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AD93ED">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bidi="ar-SA"/>
              </w:rPr>
            </w:pPr>
            <w:r>
              <w:rPr>
                <w:rFonts w:hint="eastAsia" w:ascii="宋体" w:hAnsi="宋体" w:eastAsia="宋体" w:cs="宋体"/>
                <w:b/>
                <w:bCs/>
                <w:i w:val="0"/>
                <w:iCs w:val="0"/>
                <w:color w:val="auto"/>
                <w:kern w:val="0"/>
                <w:sz w:val="22"/>
                <w:szCs w:val="22"/>
                <w:u w:val="none"/>
                <w:lang w:val="en-US" w:eastAsia="zh-CN" w:bidi="ar"/>
              </w:rPr>
              <w:t>小计</w:t>
            </w:r>
          </w:p>
        </w:tc>
        <w:tc>
          <w:tcPr>
            <w:tcW w:w="123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DCA6CC">
            <w:pPr>
              <w:spacing w:after="0" w:line="288" w:lineRule="auto"/>
              <w:jc w:val="center"/>
              <w:rPr>
                <w:rFonts w:hint="eastAsia" w:ascii="Times New Roman" w:hAnsi="Times New Roman" w:eastAsia="宋体" w:cs="Times New Roman"/>
                <w:b/>
                <w:bCs/>
                <w:color w:val="auto"/>
                <w:sz w:val="22"/>
                <w:szCs w:val="22"/>
                <w:lang w:val="en-US" w:eastAsia="zh-CN" w:bidi="ar-SA"/>
              </w:rPr>
            </w:pPr>
            <w:r>
              <w:rPr>
                <w:rFonts w:hint="eastAsia"/>
                <w:b/>
                <w:bCs/>
                <w:color w:val="auto"/>
                <w:sz w:val="22"/>
                <w:szCs w:val="22"/>
                <w:lang w:val="en-US" w:eastAsia="zh-CN"/>
              </w:rPr>
              <w:t>161029.08</w:t>
            </w:r>
          </w:p>
        </w:tc>
        <w:tc>
          <w:tcPr>
            <w:tcW w:w="93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36C27C">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lang w:val="en-US" w:eastAsia="zh-CN" w:bidi="ar-SA"/>
              </w:rPr>
            </w:pPr>
            <w:r>
              <w:rPr>
                <w:rFonts w:hint="eastAsia" w:ascii="宋体" w:hAnsi="宋体" w:cs="宋体"/>
                <w:b/>
                <w:bCs/>
                <w:i w:val="0"/>
                <w:iCs w:val="0"/>
                <w:color w:val="auto"/>
                <w:sz w:val="22"/>
                <w:szCs w:val="22"/>
                <w:u w:val="none"/>
                <w:lang w:val="en-US" w:eastAsia="zh-CN"/>
              </w:rPr>
              <w:t>/</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1D153F">
            <w:pPr>
              <w:jc w:val="center"/>
              <w:rPr>
                <w:rFonts w:hint="eastAsia" w:ascii="宋体" w:hAnsi="宋体" w:eastAsia="宋体" w:cs="宋体"/>
                <w:b/>
                <w:bCs/>
                <w:i w:val="0"/>
                <w:iCs w:val="0"/>
                <w:color w:val="auto"/>
                <w:sz w:val="22"/>
                <w:szCs w:val="22"/>
                <w:u w:val="none"/>
                <w:lang w:val="en-US" w:eastAsia="zh-CN" w:bidi="ar-SA"/>
              </w:rPr>
            </w:pPr>
          </w:p>
        </w:tc>
      </w:tr>
      <w:tr w14:paraId="0736A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6358B">
            <w:pPr>
              <w:jc w:val="center"/>
              <w:rPr>
                <w:rFonts w:hint="eastAsia" w:ascii="宋体" w:hAnsi="宋体" w:cs="宋体"/>
                <w:b/>
                <w:bCs/>
                <w:i w:val="0"/>
                <w:iCs w:val="0"/>
                <w:color w:val="auto"/>
                <w:sz w:val="22"/>
                <w:szCs w:val="22"/>
                <w:u w:val="none"/>
                <w:lang w:val="en-US" w:eastAsia="zh-CN"/>
              </w:rPr>
            </w:pPr>
            <w:r>
              <w:rPr>
                <w:rFonts w:hint="eastAsia" w:ascii="宋体" w:hAnsi="宋体" w:cs="宋体"/>
                <w:b/>
                <w:bCs/>
                <w:i w:val="0"/>
                <w:iCs w:val="0"/>
                <w:color w:val="auto"/>
                <w:sz w:val="22"/>
                <w:szCs w:val="22"/>
                <w:u w:val="none"/>
                <w:lang w:val="en-US" w:eastAsia="zh-CN"/>
              </w:rPr>
              <w:t>（三）</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E13A2">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Fonts w:hint="eastAsia" w:ascii="宋体" w:hAnsi="宋体" w:cs="宋体"/>
                <w:b/>
                <w:bCs/>
                <w:i w:val="0"/>
                <w:iCs w:val="0"/>
                <w:color w:val="auto"/>
                <w:kern w:val="0"/>
                <w:sz w:val="22"/>
                <w:szCs w:val="22"/>
                <w:u w:val="none"/>
                <w:lang w:val="en-US" w:eastAsia="zh-CN" w:bidi="ar"/>
              </w:rPr>
              <w:t>一级、二级养护</w:t>
            </w:r>
            <w:r>
              <w:rPr>
                <w:rFonts w:hint="eastAsia" w:ascii="宋体" w:hAnsi="宋体" w:eastAsia="宋体" w:cs="宋体"/>
                <w:b/>
                <w:bCs/>
                <w:i w:val="0"/>
                <w:iCs w:val="0"/>
                <w:color w:val="auto"/>
                <w:kern w:val="0"/>
                <w:sz w:val="22"/>
                <w:szCs w:val="22"/>
                <w:u w:val="none"/>
                <w:lang w:val="en-US" w:eastAsia="zh-CN" w:bidi="ar"/>
              </w:rPr>
              <w:t>合计</w:t>
            </w:r>
          </w:p>
        </w:tc>
        <w:tc>
          <w:tcPr>
            <w:tcW w:w="216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CD97A">
            <w:pPr>
              <w:jc w:val="center"/>
              <w:rPr>
                <w:rFonts w:hint="default" w:ascii="宋体" w:hAnsi="宋体" w:eastAsia="宋体" w:cs="宋体"/>
                <w:b/>
                <w:bCs/>
                <w:i w:val="0"/>
                <w:iCs w:val="0"/>
                <w:color w:val="auto"/>
                <w:sz w:val="22"/>
                <w:szCs w:val="22"/>
                <w:u w:val="none"/>
                <w:lang w:val="en-US"/>
              </w:rPr>
            </w:pPr>
            <w:r>
              <w:rPr>
                <w:rFonts w:hint="eastAsia" w:ascii="宋体" w:hAnsi="宋体" w:cs="宋体"/>
                <w:b/>
                <w:bCs/>
                <w:i w:val="0"/>
                <w:iCs w:val="0"/>
                <w:color w:val="auto"/>
                <w:kern w:val="0"/>
                <w:sz w:val="22"/>
                <w:szCs w:val="22"/>
                <w:u w:val="none"/>
                <w:lang w:val="en-US" w:eastAsia="zh-CN" w:bidi="ar"/>
              </w:rPr>
              <w:t>（一）+（二）</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E11B6">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r>
      <w:tr w14:paraId="24CC2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2" w:hRule="atLeast"/>
        </w:trPr>
        <w:tc>
          <w:tcPr>
            <w:tcW w:w="569"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F91CB">
            <w:pPr>
              <w:jc w:val="center"/>
              <w:rPr>
                <w:rFonts w:hint="eastAsia" w:ascii="宋体" w:hAnsi="宋体" w:cs="宋体"/>
                <w:b/>
                <w:bCs/>
                <w:i w:val="0"/>
                <w:iCs w:val="0"/>
                <w:color w:val="auto"/>
                <w:sz w:val="22"/>
                <w:szCs w:val="22"/>
                <w:u w:val="none"/>
                <w:lang w:val="en-US" w:eastAsia="zh-CN"/>
              </w:rPr>
            </w:pPr>
            <w:r>
              <w:rPr>
                <w:rFonts w:hint="eastAsia" w:ascii="宋体" w:hAnsi="宋体" w:cs="宋体"/>
                <w:b/>
                <w:bCs/>
                <w:i w:val="0"/>
                <w:iCs w:val="0"/>
                <w:color w:val="auto"/>
                <w:sz w:val="22"/>
                <w:szCs w:val="22"/>
                <w:u w:val="none"/>
                <w:lang w:val="en-US" w:eastAsia="zh-CN"/>
              </w:rPr>
              <w:t>（四）</w:t>
            </w:r>
          </w:p>
        </w:tc>
        <w:tc>
          <w:tcPr>
            <w:tcW w:w="134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B2579">
            <w:pPr>
              <w:keepNext w:val="0"/>
              <w:keepLines w:val="0"/>
              <w:widowControl/>
              <w:suppressLineNumbers w:val="0"/>
              <w:jc w:val="center"/>
              <w:textAlignment w:val="center"/>
              <w:rPr>
                <w:rFonts w:hint="default" w:ascii="宋体" w:hAnsi="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2年养护期合计</w:t>
            </w:r>
          </w:p>
        </w:tc>
        <w:tc>
          <w:tcPr>
            <w:tcW w:w="2168" w:type="pct"/>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90E78">
            <w:pPr>
              <w:jc w:val="center"/>
              <w:rPr>
                <w:rFonts w:hint="default" w:ascii="宋体" w:hAnsi="宋体" w:cs="宋体"/>
                <w:b/>
                <w:bCs/>
                <w:i w:val="0"/>
                <w:iCs w:val="0"/>
                <w:color w:val="auto"/>
                <w:kern w:val="0"/>
                <w:sz w:val="22"/>
                <w:szCs w:val="22"/>
                <w:u w:val="none"/>
                <w:lang w:val="en-US" w:eastAsia="zh-CN" w:bidi="ar"/>
              </w:rPr>
            </w:pPr>
            <w:r>
              <w:rPr>
                <w:rFonts w:hint="eastAsia" w:ascii="宋体" w:hAnsi="宋体" w:cs="宋体"/>
                <w:b/>
                <w:bCs/>
                <w:i w:val="0"/>
                <w:iCs w:val="0"/>
                <w:color w:val="auto"/>
                <w:kern w:val="0"/>
                <w:sz w:val="22"/>
                <w:szCs w:val="22"/>
                <w:u w:val="none"/>
                <w:lang w:val="en-US" w:eastAsia="zh-CN" w:bidi="ar"/>
              </w:rPr>
              <w:t>（三）*2年</w:t>
            </w:r>
          </w:p>
        </w:tc>
        <w:tc>
          <w:tcPr>
            <w:tcW w:w="918"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A75C99">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p>
        </w:tc>
      </w:tr>
    </w:tbl>
    <w:p w14:paraId="412DD828">
      <w:pPr>
        <w:spacing w:line="360" w:lineRule="auto"/>
        <w:outlineLvl w:val="2"/>
        <w:rPr>
          <w:rFonts w:hint="eastAsia" w:ascii="Times New Roman" w:hAnsi="Times New Roman" w:eastAsia="宋体" w:cs="Times New Roman"/>
          <w:color w:val="000000"/>
          <w:sz w:val="24"/>
          <w:szCs w:val="20"/>
          <w:lang w:val="en-US" w:eastAsia="zh-CN"/>
        </w:rPr>
      </w:pPr>
    </w:p>
    <w:p w14:paraId="3EE14157">
      <w:pPr>
        <w:spacing w:line="360" w:lineRule="auto"/>
        <w:outlineLvl w:val="2"/>
        <w:rPr>
          <w:color w:val="000000"/>
          <w:sz w:val="24"/>
          <w:szCs w:val="20"/>
        </w:rPr>
      </w:pPr>
      <w:r>
        <w:rPr>
          <w:rFonts w:hint="eastAsia"/>
          <w:color w:val="000000"/>
          <w:sz w:val="24"/>
          <w:szCs w:val="20"/>
          <w:lang w:val="en-US" w:eastAsia="zh-CN"/>
        </w:rPr>
        <w:t>8</w:t>
      </w:r>
      <w:r>
        <w:rPr>
          <w:color w:val="000000"/>
          <w:sz w:val="24"/>
          <w:szCs w:val="20"/>
        </w:rPr>
        <w:t xml:space="preserve">  合同条款偏离表</w:t>
      </w:r>
      <w:bookmarkEnd w:id="671"/>
      <w:bookmarkEnd w:id="672"/>
      <w:bookmarkEnd w:id="673"/>
      <w:bookmarkEnd w:id="674"/>
      <w:bookmarkEnd w:id="675"/>
      <w:bookmarkEnd w:id="676"/>
      <w:bookmarkEnd w:id="677"/>
      <w:bookmarkEnd w:id="678"/>
      <w:bookmarkEnd w:id="679"/>
      <w:bookmarkEnd w:id="680"/>
      <w:bookmarkEnd w:id="681"/>
      <w:bookmarkEnd w:id="682"/>
      <w:bookmarkEnd w:id="683"/>
    </w:p>
    <w:p w14:paraId="28799B87">
      <w:pPr>
        <w:jc w:val="center"/>
        <w:rPr>
          <w:b/>
          <w:color w:val="000000"/>
          <w:sz w:val="36"/>
          <w:szCs w:val="36"/>
        </w:rPr>
      </w:pPr>
      <w:r>
        <w:rPr>
          <w:rFonts w:hint="eastAsia"/>
          <w:b/>
          <w:color w:val="000000"/>
          <w:sz w:val="36"/>
          <w:szCs w:val="36"/>
        </w:rPr>
        <w:t>合同条款偏离表</w:t>
      </w:r>
    </w:p>
    <w:p w14:paraId="08FF8826">
      <w:pPr>
        <w:jc w:val="center"/>
        <w:rPr>
          <w:color w:val="000000"/>
          <w:sz w:val="36"/>
          <w:szCs w:val="36"/>
        </w:rPr>
      </w:pPr>
    </w:p>
    <w:p w14:paraId="18E2D810">
      <w:pPr>
        <w:tabs>
          <w:tab w:val="left" w:pos="1800"/>
          <w:tab w:val="left" w:pos="5580"/>
        </w:tabs>
        <w:spacing w:line="360" w:lineRule="auto"/>
        <w:ind w:firstLine="360"/>
        <w:jc w:val="left"/>
        <w:rPr>
          <w:color w:val="000000"/>
          <w:sz w:val="24"/>
        </w:rPr>
      </w:pPr>
      <w:r>
        <w:rPr>
          <w:color w:val="000000"/>
          <w:sz w:val="24"/>
        </w:rPr>
        <w:t>项目编号：_______________     项目名称：_____________________</w:t>
      </w:r>
    </w:p>
    <w:tbl>
      <w:tblPr>
        <w:tblStyle w:val="2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5B61E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7DD1A92">
            <w:pPr>
              <w:jc w:val="left"/>
              <w:rPr>
                <w:b/>
                <w:color w:val="000000"/>
                <w:sz w:val="24"/>
              </w:rPr>
            </w:pPr>
            <w:r>
              <w:rPr>
                <w:rFonts w:hint="eastAsia"/>
                <w:b/>
                <w:color w:val="000000"/>
                <w:sz w:val="24"/>
              </w:rPr>
              <w:t>对本项目合同条款的偏离情况（请进行勾选）：</w:t>
            </w:r>
          </w:p>
          <w:p w14:paraId="6A96CAF6">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6071AC33">
            <w:pPr>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2D360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C081AEF">
            <w:pPr>
              <w:jc w:val="center"/>
              <w:rPr>
                <w:color w:val="000000"/>
                <w:sz w:val="24"/>
              </w:rPr>
            </w:pPr>
            <w:r>
              <w:rPr>
                <w:color w:val="000000"/>
                <w:sz w:val="24"/>
              </w:rPr>
              <w:t>序号</w:t>
            </w:r>
          </w:p>
        </w:tc>
        <w:tc>
          <w:tcPr>
            <w:tcW w:w="1301" w:type="dxa"/>
            <w:noWrap w:val="0"/>
            <w:vAlign w:val="center"/>
          </w:tcPr>
          <w:p w14:paraId="0BB3603D">
            <w:pPr>
              <w:jc w:val="center"/>
              <w:rPr>
                <w:color w:val="000000"/>
                <w:sz w:val="24"/>
              </w:rPr>
            </w:pPr>
            <w:r>
              <w:rPr>
                <w:color w:val="000000"/>
                <w:sz w:val="24"/>
                <w:szCs w:val="21"/>
              </w:rPr>
              <w:t>磋商文件</w:t>
            </w:r>
            <w:r>
              <w:rPr>
                <w:color w:val="000000"/>
                <w:sz w:val="24"/>
              </w:rPr>
              <w:t>条目号（页码）</w:t>
            </w:r>
          </w:p>
        </w:tc>
        <w:tc>
          <w:tcPr>
            <w:tcW w:w="2007" w:type="dxa"/>
            <w:noWrap w:val="0"/>
            <w:vAlign w:val="center"/>
          </w:tcPr>
          <w:p w14:paraId="79FD1593">
            <w:pPr>
              <w:jc w:val="center"/>
              <w:rPr>
                <w:color w:val="000000"/>
                <w:sz w:val="24"/>
              </w:rPr>
            </w:pPr>
            <w:r>
              <w:rPr>
                <w:color w:val="000000"/>
                <w:sz w:val="24"/>
                <w:szCs w:val="21"/>
              </w:rPr>
              <w:t>磋商文件</w:t>
            </w:r>
            <w:r>
              <w:rPr>
                <w:color w:val="000000"/>
                <w:sz w:val="24"/>
              </w:rPr>
              <w:t>要求</w:t>
            </w:r>
          </w:p>
        </w:tc>
        <w:tc>
          <w:tcPr>
            <w:tcW w:w="2008" w:type="dxa"/>
            <w:noWrap w:val="0"/>
            <w:vAlign w:val="center"/>
          </w:tcPr>
          <w:p w14:paraId="46E58434">
            <w:pPr>
              <w:jc w:val="center"/>
              <w:rPr>
                <w:color w:val="000000"/>
                <w:sz w:val="24"/>
              </w:rPr>
            </w:pPr>
            <w:r>
              <w:rPr>
                <w:color w:val="000000"/>
                <w:sz w:val="24"/>
              </w:rPr>
              <w:t>响应文件内容</w:t>
            </w:r>
          </w:p>
        </w:tc>
        <w:tc>
          <w:tcPr>
            <w:tcW w:w="2458" w:type="dxa"/>
            <w:noWrap w:val="0"/>
            <w:vAlign w:val="center"/>
          </w:tcPr>
          <w:p w14:paraId="45C72D9D">
            <w:pPr>
              <w:jc w:val="center"/>
              <w:rPr>
                <w:color w:val="000000"/>
                <w:sz w:val="24"/>
              </w:rPr>
            </w:pPr>
            <w:r>
              <w:rPr>
                <w:color w:val="000000"/>
                <w:sz w:val="24"/>
              </w:rPr>
              <w:t>偏离情况</w:t>
            </w:r>
          </w:p>
          <w:p w14:paraId="5CA53E5F">
            <w:pPr>
              <w:jc w:val="center"/>
              <w:rPr>
                <w:color w:val="000000"/>
                <w:sz w:val="24"/>
              </w:rPr>
            </w:pPr>
            <w:r>
              <w:rPr>
                <w:color w:val="000000"/>
                <w:sz w:val="24"/>
              </w:rPr>
              <w:t>（据实填写）</w:t>
            </w:r>
          </w:p>
        </w:tc>
        <w:tc>
          <w:tcPr>
            <w:tcW w:w="788" w:type="dxa"/>
            <w:noWrap w:val="0"/>
            <w:vAlign w:val="center"/>
          </w:tcPr>
          <w:p w14:paraId="70C1704E">
            <w:pPr>
              <w:jc w:val="center"/>
              <w:rPr>
                <w:color w:val="000000"/>
                <w:sz w:val="24"/>
              </w:rPr>
            </w:pPr>
            <w:r>
              <w:rPr>
                <w:color w:val="000000"/>
                <w:sz w:val="24"/>
              </w:rPr>
              <w:t>说明</w:t>
            </w:r>
          </w:p>
        </w:tc>
      </w:tr>
      <w:tr w14:paraId="4CC5B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E70B2D2">
            <w:pPr>
              <w:jc w:val="center"/>
              <w:rPr>
                <w:color w:val="000000"/>
                <w:sz w:val="24"/>
              </w:rPr>
            </w:pPr>
          </w:p>
        </w:tc>
        <w:tc>
          <w:tcPr>
            <w:tcW w:w="1301" w:type="dxa"/>
            <w:noWrap w:val="0"/>
            <w:vAlign w:val="center"/>
          </w:tcPr>
          <w:p w14:paraId="3B33FE8A">
            <w:pPr>
              <w:jc w:val="center"/>
              <w:rPr>
                <w:color w:val="000000"/>
                <w:sz w:val="24"/>
              </w:rPr>
            </w:pPr>
          </w:p>
        </w:tc>
        <w:tc>
          <w:tcPr>
            <w:tcW w:w="2007" w:type="dxa"/>
            <w:noWrap w:val="0"/>
            <w:vAlign w:val="center"/>
          </w:tcPr>
          <w:p w14:paraId="4963161B">
            <w:pPr>
              <w:jc w:val="center"/>
              <w:rPr>
                <w:color w:val="000000"/>
                <w:sz w:val="24"/>
              </w:rPr>
            </w:pPr>
          </w:p>
        </w:tc>
        <w:tc>
          <w:tcPr>
            <w:tcW w:w="2008" w:type="dxa"/>
            <w:noWrap w:val="0"/>
            <w:vAlign w:val="center"/>
          </w:tcPr>
          <w:p w14:paraId="0E6181DD">
            <w:pPr>
              <w:jc w:val="center"/>
              <w:rPr>
                <w:color w:val="000000"/>
                <w:sz w:val="24"/>
              </w:rPr>
            </w:pPr>
          </w:p>
        </w:tc>
        <w:tc>
          <w:tcPr>
            <w:tcW w:w="2458" w:type="dxa"/>
            <w:noWrap w:val="0"/>
            <w:vAlign w:val="center"/>
          </w:tcPr>
          <w:p w14:paraId="60F9F537">
            <w:pPr>
              <w:jc w:val="center"/>
              <w:rPr>
                <w:color w:val="000000"/>
                <w:sz w:val="24"/>
              </w:rPr>
            </w:pPr>
          </w:p>
        </w:tc>
        <w:tc>
          <w:tcPr>
            <w:tcW w:w="788" w:type="dxa"/>
            <w:noWrap w:val="0"/>
            <w:vAlign w:val="center"/>
          </w:tcPr>
          <w:p w14:paraId="0C4596C5">
            <w:pPr>
              <w:jc w:val="center"/>
              <w:rPr>
                <w:color w:val="000000"/>
                <w:sz w:val="24"/>
              </w:rPr>
            </w:pPr>
          </w:p>
        </w:tc>
      </w:tr>
      <w:tr w14:paraId="5E53A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179AD545">
            <w:pPr>
              <w:jc w:val="center"/>
              <w:rPr>
                <w:color w:val="000000"/>
                <w:sz w:val="24"/>
              </w:rPr>
            </w:pPr>
          </w:p>
        </w:tc>
        <w:tc>
          <w:tcPr>
            <w:tcW w:w="1301" w:type="dxa"/>
            <w:noWrap w:val="0"/>
            <w:vAlign w:val="center"/>
          </w:tcPr>
          <w:p w14:paraId="661EEE25">
            <w:pPr>
              <w:jc w:val="center"/>
              <w:rPr>
                <w:color w:val="000000"/>
                <w:sz w:val="24"/>
              </w:rPr>
            </w:pPr>
          </w:p>
        </w:tc>
        <w:tc>
          <w:tcPr>
            <w:tcW w:w="2007" w:type="dxa"/>
            <w:noWrap w:val="0"/>
            <w:vAlign w:val="center"/>
          </w:tcPr>
          <w:p w14:paraId="2ABDB441">
            <w:pPr>
              <w:jc w:val="center"/>
              <w:rPr>
                <w:color w:val="000000"/>
                <w:sz w:val="24"/>
              </w:rPr>
            </w:pPr>
          </w:p>
        </w:tc>
        <w:tc>
          <w:tcPr>
            <w:tcW w:w="2008" w:type="dxa"/>
            <w:noWrap w:val="0"/>
            <w:vAlign w:val="center"/>
          </w:tcPr>
          <w:p w14:paraId="69D3C5FB">
            <w:pPr>
              <w:jc w:val="center"/>
              <w:rPr>
                <w:color w:val="000000"/>
                <w:sz w:val="24"/>
              </w:rPr>
            </w:pPr>
          </w:p>
        </w:tc>
        <w:tc>
          <w:tcPr>
            <w:tcW w:w="2458" w:type="dxa"/>
            <w:noWrap w:val="0"/>
            <w:vAlign w:val="center"/>
          </w:tcPr>
          <w:p w14:paraId="12443CA8">
            <w:pPr>
              <w:jc w:val="center"/>
              <w:rPr>
                <w:color w:val="000000"/>
                <w:sz w:val="24"/>
              </w:rPr>
            </w:pPr>
          </w:p>
        </w:tc>
        <w:tc>
          <w:tcPr>
            <w:tcW w:w="788" w:type="dxa"/>
            <w:noWrap w:val="0"/>
            <w:vAlign w:val="center"/>
          </w:tcPr>
          <w:p w14:paraId="2108F48F">
            <w:pPr>
              <w:jc w:val="center"/>
              <w:rPr>
                <w:color w:val="000000"/>
                <w:sz w:val="24"/>
              </w:rPr>
            </w:pPr>
          </w:p>
        </w:tc>
      </w:tr>
      <w:tr w14:paraId="2D6A88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CD23ED1">
            <w:pPr>
              <w:jc w:val="center"/>
              <w:rPr>
                <w:color w:val="000000"/>
                <w:sz w:val="24"/>
              </w:rPr>
            </w:pPr>
          </w:p>
        </w:tc>
        <w:tc>
          <w:tcPr>
            <w:tcW w:w="1301" w:type="dxa"/>
            <w:noWrap w:val="0"/>
            <w:vAlign w:val="center"/>
          </w:tcPr>
          <w:p w14:paraId="4348AFA0">
            <w:pPr>
              <w:jc w:val="center"/>
              <w:rPr>
                <w:color w:val="000000"/>
                <w:sz w:val="24"/>
              </w:rPr>
            </w:pPr>
          </w:p>
        </w:tc>
        <w:tc>
          <w:tcPr>
            <w:tcW w:w="2007" w:type="dxa"/>
            <w:noWrap w:val="0"/>
            <w:vAlign w:val="center"/>
          </w:tcPr>
          <w:p w14:paraId="5C186FE0">
            <w:pPr>
              <w:jc w:val="center"/>
              <w:rPr>
                <w:color w:val="000000"/>
                <w:sz w:val="24"/>
              </w:rPr>
            </w:pPr>
          </w:p>
        </w:tc>
        <w:tc>
          <w:tcPr>
            <w:tcW w:w="2008" w:type="dxa"/>
            <w:noWrap w:val="0"/>
            <w:vAlign w:val="center"/>
          </w:tcPr>
          <w:p w14:paraId="37DBBF69">
            <w:pPr>
              <w:jc w:val="center"/>
              <w:rPr>
                <w:color w:val="000000"/>
                <w:sz w:val="24"/>
              </w:rPr>
            </w:pPr>
          </w:p>
        </w:tc>
        <w:tc>
          <w:tcPr>
            <w:tcW w:w="2458" w:type="dxa"/>
            <w:noWrap w:val="0"/>
            <w:vAlign w:val="center"/>
          </w:tcPr>
          <w:p w14:paraId="5157E075">
            <w:pPr>
              <w:jc w:val="center"/>
              <w:rPr>
                <w:color w:val="000000"/>
                <w:sz w:val="24"/>
              </w:rPr>
            </w:pPr>
          </w:p>
        </w:tc>
        <w:tc>
          <w:tcPr>
            <w:tcW w:w="788" w:type="dxa"/>
            <w:noWrap w:val="0"/>
            <w:vAlign w:val="center"/>
          </w:tcPr>
          <w:p w14:paraId="1906D460">
            <w:pPr>
              <w:jc w:val="center"/>
              <w:rPr>
                <w:color w:val="000000"/>
                <w:sz w:val="24"/>
              </w:rPr>
            </w:pPr>
          </w:p>
        </w:tc>
      </w:tr>
      <w:tr w14:paraId="0F2CD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E64350C">
            <w:pPr>
              <w:jc w:val="center"/>
              <w:rPr>
                <w:color w:val="000000"/>
                <w:sz w:val="24"/>
              </w:rPr>
            </w:pPr>
          </w:p>
        </w:tc>
        <w:tc>
          <w:tcPr>
            <w:tcW w:w="1301" w:type="dxa"/>
            <w:noWrap w:val="0"/>
            <w:vAlign w:val="center"/>
          </w:tcPr>
          <w:p w14:paraId="5D4FD60A">
            <w:pPr>
              <w:jc w:val="center"/>
              <w:rPr>
                <w:color w:val="000000"/>
                <w:sz w:val="24"/>
              </w:rPr>
            </w:pPr>
          </w:p>
        </w:tc>
        <w:tc>
          <w:tcPr>
            <w:tcW w:w="2007" w:type="dxa"/>
            <w:noWrap w:val="0"/>
            <w:vAlign w:val="center"/>
          </w:tcPr>
          <w:p w14:paraId="087F6071">
            <w:pPr>
              <w:jc w:val="center"/>
              <w:rPr>
                <w:color w:val="000000"/>
                <w:sz w:val="24"/>
              </w:rPr>
            </w:pPr>
          </w:p>
        </w:tc>
        <w:tc>
          <w:tcPr>
            <w:tcW w:w="2008" w:type="dxa"/>
            <w:noWrap w:val="0"/>
            <w:vAlign w:val="center"/>
          </w:tcPr>
          <w:p w14:paraId="3E7548BD">
            <w:pPr>
              <w:jc w:val="center"/>
              <w:rPr>
                <w:color w:val="000000"/>
                <w:sz w:val="24"/>
              </w:rPr>
            </w:pPr>
          </w:p>
        </w:tc>
        <w:tc>
          <w:tcPr>
            <w:tcW w:w="2458" w:type="dxa"/>
            <w:noWrap w:val="0"/>
            <w:vAlign w:val="center"/>
          </w:tcPr>
          <w:p w14:paraId="07667D21">
            <w:pPr>
              <w:jc w:val="center"/>
              <w:rPr>
                <w:color w:val="000000"/>
                <w:sz w:val="24"/>
              </w:rPr>
            </w:pPr>
          </w:p>
        </w:tc>
        <w:tc>
          <w:tcPr>
            <w:tcW w:w="788" w:type="dxa"/>
            <w:noWrap w:val="0"/>
            <w:vAlign w:val="center"/>
          </w:tcPr>
          <w:p w14:paraId="360185DD">
            <w:pPr>
              <w:jc w:val="center"/>
              <w:rPr>
                <w:color w:val="000000"/>
                <w:sz w:val="24"/>
              </w:rPr>
            </w:pPr>
          </w:p>
        </w:tc>
      </w:tr>
    </w:tbl>
    <w:p w14:paraId="31060508">
      <w:pPr>
        <w:tabs>
          <w:tab w:val="left" w:pos="1800"/>
          <w:tab w:val="left" w:pos="5580"/>
        </w:tabs>
        <w:jc w:val="left"/>
        <w:rPr>
          <w:color w:val="000000"/>
          <w:sz w:val="24"/>
        </w:rPr>
      </w:pPr>
    </w:p>
    <w:p w14:paraId="0291A695">
      <w:pPr>
        <w:tabs>
          <w:tab w:val="left" w:pos="1800"/>
          <w:tab w:val="left" w:pos="5580"/>
        </w:tabs>
        <w:jc w:val="left"/>
        <w:rPr>
          <w:color w:val="000000"/>
          <w:sz w:val="24"/>
        </w:rPr>
      </w:pPr>
      <w:r>
        <w:rPr>
          <w:rFonts w:hint="eastAsia"/>
          <w:color w:val="000000"/>
          <w:sz w:val="24"/>
        </w:rPr>
        <w:t>注：</w:t>
      </w:r>
    </w:p>
    <w:p w14:paraId="6143BDEB">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14:paraId="34D77950">
      <w:pPr>
        <w:tabs>
          <w:tab w:val="left" w:pos="1800"/>
          <w:tab w:val="left" w:pos="5580"/>
        </w:tabs>
        <w:jc w:val="left"/>
        <w:rPr>
          <w:color w:val="000000"/>
          <w:sz w:val="24"/>
        </w:rPr>
      </w:pPr>
      <w:r>
        <w:rPr>
          <w:sz w:val="24"/>
        </w:rPr>
        <w:t xml:space="preserve">2. </w:t>
      </w:r>
      <w:r>
        <w:rPr>
          <w:rFonts w:hint="eastAsia"/>
          <w:sz w:val="24"/>
          <w:lang w:eastAsia="zh-CN"/>
        </w:rPr>
        <w:t>“</w:t>
      </w:r>
      <w:r>
        <w:rPr>
          <w:rFonts w:hint="eastAsia"/>
          <w:sz w:val="24"/>
        </w:rPr>
        <w:t>偏离情况</w:t>
      </w:r>
      <w:r>
        <w:rPr>
          <w:rFonts w:hint="eastAsia"/>
          <w:sz w:val="24"/>
          <w:lang w:eastAsia="zh-CN"/>
        </w:rPr>
        <w:t>”</w:t>
      </w:r>
      <w:r>
        <w:rPr>
          <w:rFonts w:hint="eastAsia"/>
          <w:sz w:val="24"/>
        </w:rPr>
        <w:t>列应</w:t>
      </w:r>
      <w:r>
        <w:rPr>
          <w:rFonts w:hint="eastAsia"/>
          <w:color w:val="000000"/>
          <w:sz w:val="24"/>
        </w:rPr>
        <w:t>据实</w:t>
      </w:r>
      <w:r>
        <w:rPr>
          <w:rFonts w:hint="eastAsia"/>
          <w:sz w:val="24"/>
        </w:rPr>
        <w:t>填写</w:t>
      </w:r>
      <w:r>
        <w:rPr>
          <w:rFonts w:hint="eastAsia"/>
          <w:sz w:val="24"/>
          <w:lang w:eastAsia="zh-CN"/>
        </w:rPr>
        <w:t>“</w:t>
      </w:r>
      <w:r>
        <w:rPr>
          <w:rFonts w:hint="eastAsia"/>
          <w:sz w:val="24"/>
        </w:rPr>
        <w:t>正偏离</w:t>
      </w:r>
      <w:r>
        <w:rPr>
          <w:rFonts w:hint="eastAsia"/>
          <w:sz w:val="24"/>
          <w:lang w:eastAsia="zh-CN"/>
        </w:rPr>
        <w:t>”</w:t>
      </w:r>
      <w:r>
        <w:rPr>
          <w:rFonts w:hint="eastAsia"/>
          <w:sz w:val="24"/>
        </w:rPr>
        <w:t>或</w:t>
      </w:r>
      <w:r>
        <w:rPr>
          <w:rFonts w:hint="eastAsia"/>
          <w:sz w:val="24"/>
          <w:lang w:eastAsia="zh-CN"/>
        </w:rPr>
        <w:t>“</w:t>
      </w:r>
      <w:r>
        <w:rPr>
          <w:rFonts w:hint="eastAsia"/>
          <w:sz w:val="24"/>
        </w:rPr>
        <w:t>负偏离</w:t>
      </w:r>
      <w:r>
        <w:rPr>
          <w:rFonts w:hint="eastAsia"/>
          <w:sz w:val="24"/>
          <w:lang w:eastAsia="zh-CN"/>
        </w:rPr>
        <w:t>”</w:t>
      </w:r>
      <w:r>
        <w:rPr>
          <w:rFonts w:hint="eastAsia"/>
          <w:sz w:val="24"/>
        </w:rPr>
        <w:t>。</w:t>
      </w:r>
    </w:p>
    <w:p w14:paraId="682EBA36">
      <w:pPr>
        <w:spacing w:line="360" w:lineRule="auto"/>
        <w:rPr>
          <w:color w:val="000000"/>
          <w:sz w:val="24"/>
          <w:szCs w:val="20"/>
        </w:rPr>
      </w:pPr>
    </w:p>
    <w:p w14:paraId="55741E5D">
      <w:pPr>
        <w:spacing w:before="25" w:after="25" w:line="360" w:lineRule="auto"/>
        <w:rPr>
          <w:color w:val="000000"/>
          <w:sz w:val="24"/>
          <w:lang w:val="zh-CN"/>
        </w:rPr>
      </w:pPr>
      <w:r>
        <w:rPr>
          <w:color w:val="000000"/>
          <w:sz w:val="24"/>
          <w:lang w:val="zh-CN"/>
        </w:rPr>
        <w:t xml:space="preserve">                      </w:t>
      </w:r>
    </w:p>
    <w:p w14:paraId="61A11030">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6EA74CD">
      <w:pPr>
        <w:spacing w:before="25" w:after="25" w:line="360" w:lineRule="auto"/>
        <w:rPr>
          <w:color w:val="000000"/>
          <w:sz w:val="24"/>
          <w:lang w:val="zh-CN"/>
        </w:rPr>
      </w:pPr>
      <w:r>
        <w:rPr>
          <w:color w:val="000000"/>
          <w:sz w:val="24"/>
          <w:szCs w:val="20"/>
        </w:rPr>
        <w:t xml:space="preserve">日期：_____年______月______日   </w:t>
      </w:r>
    </w:p>
    <w:p w14:paraId="25B5AABA">
      <w:pPr>
        <w:spacing w:line="360" w:lineRule="auto"/>
        <w:outlineLvl w:val="2"/>
        <w:rPr>
          <w:color w:val="000000"/>
          <w:sz w:val="24"/>
          <w:szCs w:val="20"/>
        </w:rPr>
      </w:pPr>
      <w:r>
        <w:rPr>
          <w:color w:val="000000"/>
          <w:sz w:val="24"/>
          <w:szCs w:val="20"/>
        </w:rPr>
        <w:br w:type="page" w:clear="all"/>
      </w:r>
      <w:r>
        <w:rPr>
          <w:rFonts w:hint="eastAsia"/>
          <w:color w:val="000000"/>
          <w:sz w:val="24"/>
          <w:szCs w:val="20"/>
          <w:lang w:val="en-US" w:eastAsia="zh-CN"/>
        </w:rPr>
        <w:t>9</w:t>
      </w:r>
      <w:r>
        <w:rPr>
          <w:color w:val="000000"/>
          <w:sz w:val="24"/>
          <w:szCs w:val="20"/>
        </w:rPr>
        <w:t xml:space="preserve">  </w:t>
      </w:r>
      <w:bookmarkEnd w:id="684"/>
      <w:bookmarkEnd w:id="685"/>
      <w:bookmarkEnd w:id="686"/>
      <w:bookmarkEnd w:id="687"/>
      <w:bookmarkEnd w:id="688"/>
      <w:bookmarkEnd w:id="689"/>
      <w:bookmarkEnd w:id="690"/>
      <w:bookmarkEnd w:id="691"/>
      <w:bookmarkEnd w:id="692"/>
      <w:bookmarkEnd w:id="693"/>
      <w:bookmarkEnd w:id="694"/>
      <w:bookmarkEnd w:id="695"/>
      <w:bookmarkEnd w:id="696"/>
      <w:r>
        <w:rPr>
          <w:color w:val="000000"/>
          <w:sz w:val="24"/>
          <w:szCs w:val="20"/>
        </w:rPr>
        <w:t>采购需求偏离表</w:t>
      </w:r>
    </w:p>
    <w:p w14:paraId="784C3B84">
      <w:pPr>
        <w:jc w:val="center"/>
        <w:rPr>
          <w:b/>
          <w:color w:val="000000"/>
          <w:sz w:val="36"/>
          <w:szCs w:val="36"/>
        </w:rPr>
      </w:pPr>
      <w:r>
        <w:rPr>
          <w:rFonts w:hint="eastAsia"/>
          <w:b/>
          <w:color w:val="000000"/>
          <w:sz w:val="36"/>
          <w:szCs w:val="36"/>
        </w:rPr>
        <w:t>采购需求偏离表</w:t>
      </w:r>
    </w:p>
    <w:p w14:paraId="3D06B109">
      <w:pPr>
        <w:jc w:val="center"/>
        <w:rPr>
          <w:color w:val="000000"/>
          <w:sz w:val="36"/>
          <w:szCs w:val="36"/>
        </w:rPr>
      </w:pPr>
    </w:p>
    <w:p w14:paraId="695B6702">
      <w:pPr>
        <w:tabs>
          <w:tab w:val="left" w:pos="1800"/>
          <w:tab w:val="left" w:pos="5580"/>
        </w:tabs>
        <w:spacing w:line="360" w:lineRule="auto"/>
        <w:ind w:firstLine="360"/>
        <w:jc w:val="left"/>
        <w:rPr>
          <w:color w:val="000000"/>
          <w:sz w:val="24"/>
        </w:rPr>
      </w:pPr>
      <w:r>
        <w:rPr>
          <w:color w:val="000000"/>
          <w:sz w:val="24"/>
        </w:rPr>
        <w:t>项目编号：_____________________     项目名称：_______________________</w:t>
      </w:r>
    </w:p>
    <w:tbl>
      <w:tblPr>
        <w:tblStyle w:val="429"/>
        <w:tblW w:w="9655" w:type="dxa"/>
        <w:tblInd w:w="-5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14:paraId="605C4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779" w:type="dxa"/>
            <w:vAlign w:val="top"/>
          </w:tcPr>
          <w:p w14:paraId="5505DB12">
            <w:pPr>
              <w:spacing w:line="329" w:lineRule="auto"/>
              <w:rPr>
                <w:rFonts w:ascii="Arial"/>
                <w:sz w:val="21"/>
              </w:rPr>
            </w:pPr>
          </w:p>
          <w:p w14:paraId="250ADE42">
            <w:pPr>
              <w:pStyle w:val="437"/>
              <w:spacing w:before="78" w:line="222" w:lineRule="auto"/>
              <w:ind w:left="154"/>
            </w:pPr>
            <w:r>
              <w:rPr>
                <w:spacing w:val="-5"/>
              </w:rPr>
              <w:t>序号</w:t>
            </w:r>
          </w:p>
        </w:tc>
        <w:tc>
          <w:tcPr>
            <w:tcW w:w="1481" w:type="dxa"/>
            <w:vAlign w:val="top"/>
          </w:tcPr>
          <w:p w14:paraId="558A3240">
            <w:pPr>
              <w:pStyle w:val="437"/>
              <w:spacing w:before="253" w:line="234" w:lineRule="auto"/>
              <w:ind w:left="231" w:right="138" w:hanging="85"/>
              <w:rPr>
                <w:rFonts w:ascii="Times New Roman" w:hAnsi="Times New Roman" w:eastAsia="Times New Roman" w:cs="Times New Roman"/>
              </w:rPr>
            </w:pPr>
            <w:r>
              <w:rPr>
                <w:spacing w:val="-2"/>
              </w:rPr>
              <w:t>磋商文件条</w:t>
            </w:r>
            <w:r>
              <w:t xml:space="preserve"> </w:t>
            </w:r>
            <w:r>
              <w:rPr>
                <w:spacing w:val="-10"/>
              </w:rPr>
              <w:t>目号</w:t>
            </w:r>
            <w:r>
              <w:rPr>
                <w:rFonts w:ascii="Times New Roman" w:hAnsi="Times New Roman" w:eastAsia="Times New Roman" w:cs="Times New Roman"/>
                <w:spacing w:val="-10"/>
              </w:rPr>
              <w:t>(</w:t>
            </w:r>
            <w:r>
              <w:rPr>
                <w:spacing w:val="-10"/>
              </w:rPr>
              <w:t>页码</w:t>
            </w:r>
            <w:r>
              <w:rPr>
                <w:rFonts w:ascii="Times New Roman" w:hAnsi="Times New Roman" w:eastAsia="Times New Roman" w:cs="Times New Roman"/>
                <w:spacing w:val="-10"/>
              </w:rPr>
              <w:t>)</w:t>
            </w:r>
          </w:p>
        </w:tc>
        <w:tc>
          <w:tcPr>
            <w:tcW w:w="2383" w:type="dxa"/>
            <w:vAlign w:val="top"/>
          </w:tcPr>
          <w:p w14:paraId="559D1B55">
            <w:pPr>
              <w:spacing w:line="330" w:lineRule="auto"/>
              <w:rPr>
                <w:rFonts w:ascii="Arial"/>
                <w:sz w:val="21"/>
              </w:rPr>
            </w:pPr>
          </w:p>
          <w:p w14:paraId="2028CB1C">
            <w:pPr>
              <w:pStyle w:val="437"/>
              <w:spacing w:before="78" w:line="220" w:lineRule="auto"/>
              <w:ind w:left="477"/>
            </w:pPr>
            <w:r>
              <w:rPr>
                <w:spacing w:val="-2"/>
              </w:rPr>
              <w:t>磋商文件要求</w:t>
            </w:r>
          </w:p>
        </w:tc>
        <w:tc>
          <w:tcPr>
            <w:tcW w:w="2125" w:type="dxa"/>
            <w:vAlign w:val="top"/>
          </w:tcPr>
          <w:p w14:paraId="4949CCED">
            <w:pPr>
              <w:spacing w:line="330" w:lineRule="auto"/>
              <w:rPr>
                <w:rFonts w:ascii="Arial"/>
                <w:sz w:val="21"/>
              </w:rPr>
            </w:pPr>
          </w:p>
          <w:p w14:paraId="2395D0D6">
            <w:pPr>
              <w:pStyle w:val="437"/>
              <w:spacing w:before="78" w:line="220" w:lineRule="auto"/>
              <w:ind w:left="603"/>
            </w:pPr>
            <w:r>
              <w:rPr>
                <w:spacing w:val="-6"/>
              </w:rPr>
              <w:t>响应内容</w:t>
            </w:r>
          </w:p>
        </w:tc>
        <w:tc>
          <w:tcPr>
            <w:tcW w:w="1874" w:type="dxa"/>
            <w:vAlign w:val="top"/>
          </w:tcPr>
          <w:p w14:paraId="6BE3F5CE">
            <w:pPr>
              <w:pStyle w:val="437"/>
              <w:spacing w:before="254" w:line="230" w:lineRule="auto"/>
              <w:ind w:left="236" w:right="233" w:firstLine="228"/>
            </w:pPr>
            <w:r>
              <w:rPr>
                <w:spacing w:val="-3"/>
              </w:rPr>
              <w:t>偏离情况</w:t>
            </w:r>
            <w:r>
              <w:t xml:space="preserve">  </w:t>
            </w:r>
            <w:r>
              <w:rPr>
                <w:spacing w:val="-7"/>
              </w:rPr>
              <w:t>（据实填写）</w:t>
            </w:r>
          </w:p>
        </w:tc>
        <w:tc>
          <w:tcPr>
            <w:tcW w:w="1013" w:type="dxa"/>
            <w:vAlign w:val="top"/>
          </w:tcPr>
          <w:p w14:paraId="2D179641">
            <w:pPr>
              <w:spacing w:line="330" w:lineRule="auto"/>
              <w:rPr>
                <w:rFonts w:ascii="Arial"/>
                <w:sz w:val="21"/>
              </w:rPr>
            </w:pPr>
          </w:p>
          <w:p w14:paraId="1B8E197A">
            <w:pPr>
              <w:pStyle w:val="437"/>
              <w:spacing w:before="78" w:line="220" w:lineRule="auto"/>
              <w:ind w:left="276"/>
            </w:pPr>
            <w:r>
              <w:rPr>
                <w:spacing w:val="-7"/>
              </w:rPr>
              <w:t>说明</w:t>
            </w:r>
          </w:p>
        </w:tc>
      </w:tr>
      <w:tr w14:paraId="2BA9FB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02655BD6">
            <w:pPr>
              <w:rPr>
                <w:rFonts w:ascii="Arial"/>
                <w:sz w:val="21"/>
              </w:rPr>
            </w:pPr>
          </w:p>
        </w:tc>
        <w:tc>
          <w:tcPr>
            <w:tcW w:w="1481" w:type="dxa"/>
            <w:vAlign w:val="top"/>
          </w:tcPr>
          <w:p w14:paraId="61DDCADE">
            <w:pPr>
              <w:rPr>
                <w:rFonts w:ascii="Arial"/>
                <w:sz w:val="21"/>
              </w:rPr>
            </w:pPr>
          </w:p>
        </w:tc>
        <w:tc>
          <w:tcPr>
            <w:tcW w:w="2383" w:type="dxa"/>
            <w:vAlign w:val="top"/>
          </w:tcPr>
          <w:p w14:paraId="7AEF3805">
            <w:pPr>
              <w:rPr>
                <w:rFonts w:ascii="Arial"/>
                <w:sz w:val="21"/>
              </w:rPr>
            </w:pPr>
          </w:p>
        </w:tc>
        <w:tc>
          <w:tcPr>
            <w:tcW w:w="2125" w:type="dxa"/>
            <w:vAlign w:val="top"/>
          </w:tcPr>
          <w:p w14:paraId="0FD900B1">
            <w:pPr>
              <w:rPr>
                <w:rFonts w:ascii="Arial"/>
                <w:sz w:val="21"/>
              </w:rPr>
            </w:pPr>
          </w:p>
        </w:tc>
        <w:tc>
          <w:tcPr>
            <w:tcW w:w="1874" w:type="dxa"/>
            <w:vAlign w:val="top"/>
          </w:tcPr>
          <w:p w14:paraId="073259D1">
            <w:pPr>
              <w:rPr>
                <w:rFonts w:ascii="Arial"/>
                <w:sz w:val="21"/>
              </w:rPr>
            </w:pPr>
          </w:p>
        </w:tc>
        <w:tc>
          <w:tcPr>
            <w:tcW w:w="1013" w:type="dxa"/>
            <w:vAlign w:val="top"/>
          </w:tcPr>
          <w:p w14:paraId="26D25083">
            <w:pPr>
              <w:rPr>
                <w:rFonts w:ascii="Arial"/>
                <w:sz w:val="21"/>
              </w:rPr>
            </w:pPr>
          </w:p>
        </w:tc>
      </w:tr>
      <w:tr w14:paraId="71131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7D6EEBF9">
            <w:pPr>
              <w:rPr>
                <w:rFonts w:ascii="Arial"/>
                <w:sz w:val="21"/>
              </w:rPr>
            </w:pPr>
          </w:p>
        </w:tc>
        <w:tc>
          <w:tcPr>
            <w:tcW w:w="1481" w:type="dxa"/>
            <w:vAlign w:val="top"/>
          </w:tcPr>
          <w:p w14:paraId="74F42A77">
            <w:pPr>
              <w:rPr>
                <w:rFonts w:ascii="Arial"/>
                <w:sz w:val="21"/>
              </w:rPr>
            </w:pPr>
          </w:p>
        </w:tc>
        <w:tc>
          <w:tcPr>
            <w:tcW w:w="2383" w:type="dxa"/>
            <w:vAlign w:val="top"/>
          </w:tcPr>
          <w:p w14:paraId="493C4458">
            <w:pPr>
              <w:rPr>
                <w:rFonts w:ascii="Arial"/>
                <w:sz w:val="21"/>
              </w:rPr>
            </w:pPr>
          </w:p>
        </w:tc>
        <w:tc>
          <w:tcPr>
            <w:tcW w:w="2125" w:type="dxa"/>
            <w:vAlign w:val="top"/>
          </w:tcPr>
          <w:p w14:paraId="2D2F8708">
            <w:pPr>
              <w:rPr>
                <w:rFonts w:ascii="Arial"/>
                <w:sz w:val="21"/>
              </w:rPr>
            </w:pPr>
          </w:p>
        </w:tc>
        <w:tc>
          <w:tcPr>
            <w:tcW w:w="1874" w:type="dxa"/>
            <w:vAlign w:val="top"/>
          </w:tcPr>
          <w:p w14:paraId="25CEFAD1">
            <w:pPr>
              <w:rPr>
                <w:rFonts w:ascii="Arial"/>
                <w:sz w:val="21"/>
              </w:rPr>
            </w:pPr>
          </w:p>
        </w:tc>
        <w:tc>
          <w:tcPr>
            <w:tcW w:w="1013" w:type="dxa"/>
            <w:vAlign w:val="top"/>
          </w:tcPr>
          <w:p w14:paraId="2FE67356">
            <w:pPr>
              <w:rPr>
                <w:rFonts w:ascii="Arial"/>
                <w:sz w:val="21"/>
              </w:rPr>
            </w:pPr>
          </w:p>
        </w:tc>
      </w:tr>
      <w:tr w14:paraId="2A6E1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5" w:hRule="atLeast"/>
        </w:trPr>
        <w:tc>
          <w:tcPr>
            <w:tcW w:w="779" w:type="dxa"/>
            <w:vAlign w:val="top"/>
          </w:tcPr>
          <w:p w14:paraId="62A9D912">
            <w:pPr>
              <w:rPr>
                <w:rFonts w:ascii="Arial"/>
                <w:sz w:val="21"/>
              </w:rPr>
            </w:pPr>
          </w:p>
        </w:tc>
        <w:tc>
          <w:tcPr>
            <w:tcW w:w="1481" w:type="dxa"/>
            <w:vAlign w:val="top"/>
          </w:tcPr>
          <w:p w14:paraId="5C28C58B">
            <w:pPr>
              <w:rPr>
                <w:rFonts w:ascii="Arial"/>
                <w:sz w:val="21"/>
              </w:rPr>
            </w:pPr>
          </w:p>
        </w:tc>
        <w:tc>
          <w:tcPr>
            <w:tcW w:w="2383" w:type="dxa"/>
            <w:vAlign w:val="top"/>
          </w:tcPr>
          <w:p w14:paraId="71111C80">
            <w:pPr>
              <w:rPr>
                <w:rFonts w:ascii="Arial"/>
                <w:sz w:val="21"/>
              </w:rPr>
            </w:pPr>
          </w:p>
        </w:tc>
        <w:tc>
          <w:tcPr>
            <w:tcW w:w="2125" w:type="dxa"/>
            <w:vAlign w:val="top"/>
          </w:tcPr>
          <w:p w14:paraId="01B255FC">
            <w:pPr>
              <w:rPr>
                <w:rFonts w:ascii="Arial"/>
                <w:sz w:val="21"/>
              </w:rPr>
            </w:pPr>
          </w:p>
        </w:tc>
        <w:tc>
          <w:tcPr>
            <w:tcW w:w="1874" w:type="dxa"/>
            <w:vAlign w:val="top"/>
          </w:tcPr>
          <w:p w14:paraId="711DF8E3">
            <w:pPr>
              <w:rPr>
                <w:rFonts w:ascii="Arial"/>
                <w:sz w:val="21"/>
              </w:rPr>
            </w:pPr>
          </w:p>
        </w:tc>
        <w:tc>
          <w:tcPr>
            <w:tcW w:w="1013" w:type="dxa"/>
            <w:vAlign w:val="top"/>
          </w:tcPr>
          <w:p w14:paraId="28025171">
            <w:pPr>
              <w:rPr>
                <w:rFonts w:ascii="Arial"/>
                <w:sz w:val="21"/>
              </w:rPr>
            </w:pPr>
          </w:p>
        </w:tc>
      </w:tr>
      <w:tr w14:paraId="513291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3BF553BC">
            <w:pPr>
              <w:rPr>
                <w:rFonts w:ascii="Arial"/>
                <w:sz w:val="21"/>
              </w:rPr>
            </w:pPr>
          </w:p>
        </w:tc>
        <w:tc>
          <w:tcPr>
            <w:tcW w:w="1481" w:type="dxa"/>
            <w:vAlign w:val="top"/>
          </w:tcPr>
          <w:p w14:paraId="10476BF8">
            <w:pPr>
              <w:rPr>
                <w:rFonts w:ascii="Arial"/>
                <w:sz w:val="21"/>
              </w:rPr>
            </w:pPr>
          </w:p>
        </w:tc>
        <w:tc>
          <w:tcPr>
            <w:tcW w:w="2383" w:type="dxa"/>
            <w:vAlign w:val="top"/>
          </w:tcPr>
          <w:p w14:paraId="2EC07E32">
            <w:pPr>
              <w:rPr>
                <w:rFonts w:ascii="Arial"/>
                <w:sz w:val="21"/>
              </w:rPr>
            </w:pPr>
          </w:p>
        </w:tc>
        <w:tc>
          <w:tcPr>
            <w:tcW w:w="2125" w:type="dxa"/>
            <w:vAlign w:val="top"/>
          </w:tcPr>
          <w:p w14:paraId="0875038A">
            <w:pPr>
              <w:rPr>
                <w:rFonts w:ascii="Arial"/>
                <w:sz w:val="21"/>
              </w:rPr>
            </w:pPr>
          </w:p>
        </w:tc>
        <w:tc>
          <w:tcPr>
            <w:tcW w:w="1874" w:type="dxa"/>
            <w:vAlign w:val="top"/>
          </w:tcPr>
          <w:p w14:paraId="21C4D755">
            <w:pPr>
              <w:rPr>
                <w:rFonts w:ascii="Arial"/>
                <w:sz w:val="21"/>
              </w:rPr>
            </w:pPr>
          </w:p>
        </w:tc>
        <w:tc>
          <w:tcPr>
            <w:tcW w:w="1013" w:type="dxa"/>
            <w:vAlign w:val="top"/>
          </w:tcPr>
          <w:p w14:paraId="3B3B5C23">
            <w:pPr>
              <w:rPr>
                <w:rFonts w:ascii="Arial"/>
                <w:sz w:val="21"/>
              </w:rPr>
            </w:pPr>
          </w:p>
        </w:tc>
      </w:tr>
      <w:tr w14:paraId="63BC5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4" w:hRule="atLeast"/>
        </w:trPr>
        <w:tc>
          <w:tcPr>
            <w:tcW w:w="779" w:type="dxa"/>
            <w:vAlign w:val="top"/>
          </w:tcPr>
          <w:p w14:paraId="19548859">
            <w:pPr>
              <w:rPr>
                <w:rFonts w:ascii="Arial"/>
                <w:sz w:val="21"/>
              </w:rPr>
            </w:pPr>
          </w:p>
        </w:tc>
        <w:tc>
          <w:tcPr>
            <w:tcW w:w="1481" w:type="dxa"/>
            <w:vAlign w:val="top"/>
          </w:tcPr>
          <w:p w14:paraId="2EAC6DE0">
            <w:pPr>
              <w:rPr>
                <w:rFonts w:ascii="Arial"/>
                <w:sz w:val="21"/>
              </w:rPr>
            </w:pPr>
          </w:p>
        </w:tc>
        <w:tc>
          <w:tcPr>
            <w:tcW w:w="2383" w:type="dxa"/>
            <w:vAlign w:val="top"/>
          </w:tcPr>
          <w:p w14:paraId="556C03C7">
            <w:pPr>
              <w:rPr>
                <w:rFonts w:ascii="Arial"/>
                <w:sz w:val="21"/>
              </w:rPr>
            </w:pPr>
          </w:p>
        </w:tc>
        <w:tc>
          <w:tcPr>
            <w:tcW w:w="2125" w:type="dxa"/>
            <w:vAlign w:val="top"/>
          </w:tcPr>
          <w:p w14:paraId="46554A24">
            <w:pPr>
              <w:rPr>
                <w:rFonts w:ascii="Arial"/>
                <w:sz w:val="21"/>
              </w:rPr>
            </w:pPr>
          </w:p>
        </w:tc>
        <w:tc>
          <w:tcPr>
            <w:tcW w:w="1874" w:type="dxa"/>
            <w:vAlign w:val="top"/>
          </w:tcPr>
          <w:p w14:paraId="4376108E">
            <w:pPr>
              <w:rPr>
                <w:rFonts w:ascii="Arial"/>
                <w:sz w:val="21"/>
              </w:rPr>
            </w:pPr>
          </w:p>
        </w:tc>
        <w:tc>
          <w:tcPr>
            <w:tcW w:w="1013" w:type="dxa"/>
            <w:vAlign w:val="top"/>
          </w:tcPr>
          <w:p w14:paraId="03AD9A47">
            <w:pPr>
              <w:rPr>
                <w:rFonts w:ascii="Arial"/>
                <w:sz w:val="21"/>
              </w:rPr>
            </w:pPr>
          </w:p>
        </w:tc>
      </w:tr>
      <w:tr w14:paraId="3638E7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779" w:type="dxa"/>
            <w:vAlign w:val="top"/>
          </w:tcPr>
          <w:p w14:paraId="2FE46C38">
            <w:pPr>
              <w:rPr>
                <w:rFonts w:ascii="Arial"/>
                <w:sz w:val="21"/>
              </w:rPr>
            </w:pPr>
          </w:p>
        </w:tc>
        <w:tc>
          <w:tcPr>
            <w:tcW w:w="1481" w:type="dxa"/>
            <w:vAlign w:val="top"/>
          </w:tcPr>
          <w:p w14:paraId="10F93C30">
            <w:pPr>
              <w:rPr>
                <w:rFonts w:ascii="Arial"/>
                <w:sz w:val="21"/>
              </w:rPr>
            </w:pPr>
          </w:p>
        </w:tc>
        <w:tc>
          <w:tcPr>
            <w:tcW w:w="2383" w:type="dxa"/>
            <w:vAlign w:val="top"/>
          </w:tcPr>
          <w:p w14:paraId="78140DD5">
            <w:pPr>
              <w:rPr>
                <w:rFonts w:ascii="Arial"/>
                <w:sz w:val="21"/>
              </w:rPr>
            </w:pPr>
          </w:p>
        </w:tc>
        <w:tc>
          <w:tcPr>
            <w:tcW w:w="2125" w:type="dxa"/>
            <w:vAlign w:val="top"/>
          </w:tcPr>
          <w:p w14:paraId="651863C1">
            <w:pPr>
              <w:rPr>
                <w:rFonts w:ascii="Arial"/>
                <w:sz w:val="21"/>
              </w:rPr>
            </w:pPr>
          </w:p>
        </w:tc>
        <w:tc>
          <w:tcPr>
            <w:tcW w:w="1874" w:type="dxa"/>
            <w:vAlign w:val="top"/>
          </w:tcPr>
          <w:p w14:paraId="2725F655">
            <w:pPr>
              <w:rPr>
                <w:rFonts w:ascii="Arial"/>
                <w:sz w:val="21"/>
              </w:rPr>
            </w:pPr>
          </w:p>
        </w:tc>
        <w:tc>
          <w:tcPr>
            <w:tcW w:w="1013" w:type="dxa"/>
            <w:vAlign w:val="top"/>
          </w:tcPr>
          <w:p w14:paraId="48ED0A0E">
            <w:pPr>
              <w:rPr>
                <w:rFonts w:ascii="Arial"/>
                <w:sz w:val="21"/>
              </w:rPr>
            </w:pPr>
          </w:p>
        </w:tc>
      </w:tr>
    </w:tbl>
    <w:p w14:paraId="51204F70">
      <w:pPr>
        <w:pStyle w:val="262"/>
        <w:rPr>
          <w:color w:val="000000"/>
          <w:sz w:val="24"/>
        </w:rPr>
      </w:pPr>
    </w:p>
    <w:p w14:paraId="4EE283BB">
      <w:pPr>
        <w:tabs>
          <w:tab w:val="left" w:pos="1800"/>
          <w:tab w:val="left" w:pos="5580"/>
        </w:tabs>
        <w:jc w:val="left"/>
        <w:rPr>
          <w:color w:val="000000"/>
          <w:sz w:val="24"/>
        </w:rPr>
      </w:pPr>
      <w:r>
        <w:rPr>
          <w:color w:val="000000"/>
          <w:sz w:val="24"/>
        </w:rPr>
        <w:t>注：</w:t>
      </w:r>
    </w:p>
    <w:p w14:paraId="38379874">
      <w:pPr>
        <w:pStyle w:val="13"/>
        <w:numPr>
          <w:ilvl w:val="0"/>
          <w:numId w:val="16"/>
        </w:numPr>
        <w:spacing w:before="18" w:line="230" w:lineRule="auto"/>
        <w:ind w:right="293"/>
        <w:rPr>
          <w:spacing w:val="-1"/>
        </w:rPr>
      </w:pPr>
      <w:r>
        <w:rPr>
          <w:rFonts w:ascii="Times New Roman" w:hAnsi="Times New Roman" w:eastAsia="Times New Roman" w:cs="Times New Roman"/>
          <w:spacing w:val="-3"/>
        </w:rPr>
        <w:t xml:space="preserve"> </w:t>
      </w:r>
      <w:r>
        <w:rPr>
          <w:spacing w:val="-3"/>
        </w:rPr>
        <w:t>对磋商文件中的所有商务、技术要求，除本表所列</w:t>
      </w:r>
      <w:r>
        <w:rPr>
          <w:spacing w:val="-4"/>
        </w:rPr>
        <w:t>明的所有偏离外，均视作供应商已</w:t>
      </w:r>
      <w:r>
        <w:t xml:space="preserve"> </w:t>
      </w:r>
      <w:r>
        <w:rPr>
          <w:spacing w:val="-1"/>
        </w:rPr>
        <w:t>对之理解和响应。此表中若无任何文字说明，内容为空白，则</w:t>
      </w:r>
      <w:r>
        <w:rPr>
          <w:b/>
          <w:bCs/>
          <w:spacing w:val="-1"/>
        </w:rPr>
        <w:t>响应无效</w:t>
      </w:r>
      <w:r>
        <w:rPr>
          <w:spacing w:val="-1"/>
        </w:rPr>
        <w:t>。</w:t>
      </w:r>
    </w:p>
    <w:p w14:paraId="010E01ED">
      <w:pPr>
        <w:pStyle w:val="13"/>
        <w:numPr>
          <w:ilvl w:val="0"/>
          <w:numId w:val="0"/>
        </w:numPr>
        <w:spacing w:before="18" w:line="230" w:lineRule="auto"/>
        <w:ind w:right="293" w:rightChars="0"/>
        <w:rPr>
          <w:color w:val="000000"/>
          <w:sz w:val="24"/>
        </w:rPr>
      </w:pPr>
      <w:r>
        <w:rPr>
          <w:rFonts w:ascii="Times New Roman" w:hAnsi="Times New Roman" w:eastAsia="Times New Roman" w:cs="Times New Roman"/>
          <w:spacing w:val="-3"/>
        </w:rPr>
        <w:t>2.</w:t>
      </w:r>
      <w:r>
        <w:rPr>
          <w:spacing w:val="-3"/>
        </w:rPr>
        <w:t>“偏离情况</w:t>
      </w:r>
      <w:r>
        <w:rPr>
          <w:spacing w:val="-88"/>
        </w:rPr>
        <w:t xml:space="preserve"> </w:t>
      </w:r>
      <w:r>
        <w:rPr>
          <w:spacing w:val="-3"/>
        </w:rPr>
        <w:t>”列应据实填写“无偏离</w:t>
      </w:r>
      <w:r>
        <w:rPr>
          <w:spacing w:val="-89"/>
        </w:rPr>
        <w:t xml:space="preserve"> </w:t>
      </w:r>
      <w:r>
        <w:rPr>
          <w:spacing w:val="-3"/>
        </w:rPr>
        <w:t>”或“正偏离</w:t>
      </w:r>
      <w:r>
        <w:rPr>
          <w:spacing w:val="-88"/>
        </w:rPr>
        <w:t xml:space="preserve"> </w:t>
      </w:r>
      <w:r>
        <w:rPr>
          <w:spacing w:val="-3"/>
        </w:rPr>
        <w:t>”或“</w:t>
      </w:r>
      <w:r>
        <w:rPr>
          <w:spacing w:val="-4"/>
        </w:rPr>
        <w:t>负偏离</w:t>
      </w:r>
      <w:r>
        <w:rPr>
          <w:spacing w:val="-88"/>
        </w:rPr>
        <w:t xml:space="preserve"> </w:t>
      </w:r>
      <w:r>
        <w:rPr>
          <w:spacing w:val="-4"/>
        </w:rPr>
        <w:t>”。</w:t>
      </w:r>
    </w:p>
    <w:p w14:paraId="7B7D0454">
      <w:pPr>
        <w:tabs>
          <w:tab w:val="left" w:pos="1800"/>
          <w:tab w:val="left" w:pos="5580"/>
        </w:tabs>
        <w:jc w:val="left"/>
        <w:rPr>
          <w:color w:val="000000"/>
          <w:sz w:val="24"/>
        </w:rPr>
      </w:pPr>
    </w:p>
    <w:p w14:paraId="119B7699">
      <w:pPr>
        <w:rPr>
          <w:color w:val="000000"/>
          <w:sz w:val="24"/>
          <w:szCs w:val="20"/>
        </w:rPr>
      </w:pPr>
    </w:p>
    <w:p w14:paraId="1344265E">
      <w:pPr>
        <w:spacing w:before="25" w:after="25" w:line="360" w:lineRule="auto"/>
        <w:rPr>
          <w:color w:val="000000"/>
          <w:sz w:val="24"/>
          <w:lang w:val="zh-CN"/>
        </w:rPr>
      </w:pPr>
      <w:r>
        <w:rPr>
          <w:color w:val="000000"/>
          <w:sz w:val="24"/>
          <w:lang w:val="zh-CN"/>
        </w:rPr>
        <w:t xml:space="preserve">                  </w:t>
      </w:r>
    </w:p>
    <w:p w14:paraId="375D66E6">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485B42F3">
      <w:pPr>
        <w:spacing w:before="25" w:after="25" w:line="360" w:lineRule="auto"/>
        <w:rPr>
          <w:color w:val="000000"/>
          <w:sz w:val="24"/>
          <w:lang w:val="zh-CN"/>
        </w:rPr>
      </w:pPr>
      <w:r>
        <w:rPr>
          <w:color w:val="000000"/>
          <w:sz w:val="24"/>
          <w:szCs w:val="20"/>
        </w:rPr>
        <w:t xml:space="preserve">日期：_____年______月______日   </w:t>
      </w:r>
    </w:p>
    <w:p w14:paraId="447EC2F6">
      <w:pPr>
        <w:spacing w:line="360" w:lineRule="auto"/>
        <w:outlineLvl w:val="2"/>
        <w:rPr>
          <w:rFonts w:hint="eastAsia"/>
          <w:color w:val="000000"/>
          <w:sz w:val="24"/>
          <w:szCs w:val="20"/>
        </w:rPr>
      </w:pPr>
    </w:p>
    <w:p w14:paraId="32EF091E">
      <w:pPr>
        <w:rPr>
          <w:rFonts w:hint="eastAsia"/>
          <w:color w:val="000000"/>
          <w:sz w:val="24"/>
          <w:szCs w:val="20"/>
        </w:rPr>
      </w:pPr>
    </w:p>
    <w:p w14:paraId="6913C314">
      <w:pPr>
        <w:rPr>
          <w:rFonts w:hint="eastAsia"/>
          <w:color w:val="000000"/>
          <w:sz w:val="24"/>
          <w:szCs w:val="20"/>
          <w:lang w:val="en-US" w:eastAsia="zh-CN"/>
        </w:rPr>
      </w:pPr>
      <w:r>
        <w:rPr>
          <w:rFonts w:hint="eastAsia"/>
          <w:color w:val="000000"/>
          <w:sz w:val="24"/>
          <w:szCs w:val="20"/>
          <w:lang w:val="en-US" w:eastAsia="zh-CN"/>
        </w:rPr>
        <w:br w:type="page"/>
      </w:r>
    </w:p>
    <w:p w14:paraId="60C88FBC">
      <w:pPr>
        <w:rPr>
          <w:color w:val="000000"/>
          <w:sz w:val="24"/>
          <w:szCs w:val="20"/>
        </w:rPr>
      </w:pPr>
      <w:r>
        <w:rPr>
          <w:rFonts w:hint="eastAsia"/>
          <w:color w:val="000000"/>
          <w:sz w:val="24"/>
          <w:szCs w:val="20"/>
          <w:lang w:val="en-US" w:eastAsia="zh-CN"/>
        </w:rPr>
        <w:t>10</w:t>
      </w:r>
      <w:r>
        <w:rPr>
          <w:rFonts w:hint="eastAsia"/>
          <w:color w:val="000000"/>
          <w:sz w:val="24"/>
          <w:szCs w:val="20"/>
        </w:rPr>
        <w:t>参加本项目人员一览表</w:t>
      </w:r>
    </w:p>
    <w:p w14:paraId="5ADC9D3C">
      <w:pPr>
        <w:spacing w:line="360" w:lineRule="auto"/>
        <w:jc w:val="center"/>
        <w:rPr>
          <w:rFonts w:hint="eastAsia" w:ascii="宋体" w:hAnsi="宋体"/>
          <w:b/>
          <w:sz w:val="32"/>
          <w:szCs w:val="32"/>
        </w:rPr>
      </w:pPr>
    </w:p>
    <w:p w14:paraId="27286673">
      <w:pPr>
        <w:spacing w:line="360" w:lineRule="auto"/>
        <w:jc w:val="center"/>
        <w:rPr>
          <w:rFonts w:ascii="宋体" w:hAnsi="宋体"/>
          <w:b/>
          <w:sz w:val="32"/>
          <w:szCs w:val="32"/>
        </w:rPr>
      </w:pPr>
      <w:r>
        <w:rPr>
          <w:rFonts w:hint="eastAsia" w:ascii="宋体" w:hAnsi="宋体"/>
          <w:b/>
          <w:sz w:val="32"/>
          <w:szCs w:val="32"/>
        </w:rPr>
        <w:t>参加本项目人员一览表</w:t>
      </w:r>
    </w:p>
    <w:p w14:paraId="0C0E0725">
      <w:pPr>
        <w:spacing w:line="360" w:lineRule="auto"/>
        <w:rPr>
          <w:rFonts w:ascii="宋体" w:hAnsi="宋体"/>
          <w:sz w:val="22"/>
        </w:rPr>
      </w:pPr>
    </w:p>
    <w:p w14:paraId="66E4B53E">
      <w:pPr>
        <w:spacing w:line="360" w:lineRule="auto"/>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9"/>
        <w:tblW w:w="9450" w:type="dxa"/>
        <w:tblInd w:w="-289"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45"/>
        <w:gridCol w:w="945"/>
        <w:gridCol w:w="945"/>
        <w:gridCol w:w="945"/>
        <w:gridCol w:w="945"/>
        <w:gridCol w:w="945"/>
        <w:gridCol w:w="945"/>
        <w:gridCol w:w="945"/>
        <w:gridCol w:w="945"/>
        <w:gridCol w:w="945"/>
      </w:tblGrid>
      <w:tr w14:paraId="7098ED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center"/>
          </w:tcPr>
          <w:p w14:paraId="1CA59CBB">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序号</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70F51738">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姓名</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98D09B1">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性别</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19ABC739">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年龄</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E6BC19A">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毕业学校和学历</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B2E9E31">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专业</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49EE9824">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职称</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2E98C04C">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专业培训及证书</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05C6597C">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责任</w:t>
            </w:r>
          </w:p>
          <w:p w14:paraId="6B1B3443">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或分工</w:t>
            </w:r>
          </w:p>
        </w:tc>
        <w:tc>
          <w:tcPr>
            <w:tcW w:w="945" w:type="dxa"/>
            <w:tcBorders>
              <w:top w:val="single" w:color="auto" w:sz="4" w:space="0"/>
              <w:left w:val="single" w:color="auto" w:sz="4" w:space="0"/>
              <w:bottom w:val="single" w:color="auto" w:sz="4" w:space="0"/>
            </w:tcBorders>
            <w:noWrap w:val="0"/>
            <w:vAlign w:val="center"/>
          </w:tcPr>
          <w:p w14:paraId="3A808304">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项目经历或主要工作</w:t>
            </w:r>
          </w:p>
          <w:p w14:paraId="64BD2585">
            <w:pPr>
              <w:tabs>
                <w:tab w:val="left" w:pos="9765"/>
              </w:tabs>
              <w:autoSpaceDE w:val="0"/>
              <w:autoSpaceDN w:val="0"/>
              <w:snapToGrid w:val="0"/>
              <w:spacing w:before="0" w:after="0" w:line="360" w:lineRule="auto"/>
              <w:ind w:left="0" w:right="0"/>
              <w:jc w:val="center"/>
              <w:rPr>
                <w:rFonts w:hint="default" w:ascii="宋体" w:hAnsi="宋体" w:eastAsia="宋体" w:cs="宋体"/>
                <w:color w:val="auto"/>
                <w:sz w:val="21"/>
                <w:szCs w:val="21"/>
                <w:lang w:val="zh-CN" w:bidi="zh-CN"/>
              </w:rPr>
            </w:pPr>
            <w:r>
              <w:rPr>
                <w:rFonts w:hint="eastAsia" w:ascii="宋体" w:hAnsi="宋体" w:eastAsia="宋体" w:cs="宋体"/>
                <w:color w:val="auto"/>
                <w:sz w:val="21"/>
                <w:szCs w:val="21"/>
                <w:lang w:val="zh-CN" w:bidi="zh-CN"/>
              </w:rPr>
              <w:t>业绩</w:t>
            </w:r>
          </w:p>
        </w:tc>
      </w:tr>
      <w:tr w14:paraId="55BC762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78F99AA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BEA243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207FD3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4E8B9B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3B57E6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A3764B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B3701DA">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486A6E77">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20AE49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tcBorders>
            <w:noWrap w:val="0"/>
            <w:vAlign w:val="top"/>
          </w:tcPr>
          <w:p w14:paraId="6E7D3E2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r>
      <w:tr w14:paraId="003FD2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5EA7575D">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2B1F61A">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C97AF6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DE46A13">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7D2B00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E1E806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04F8F7D3">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60185CE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A1FA441">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tcBorders>
            <w:noWrap w:val="0"/>
            <w:vAlign w:val="top"/>
          </w:tcPr>
          <w:p w14:paraId="23B2DA6D">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r>
      <w:tr w14:paraId="7D5A7A6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105F028E">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6C9ADF4">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9AD5B1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57EFFD">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789B31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A1966C3">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8885958">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135B4D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D0BCF6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tcBorders>
            <w:noWrap w:val="0"/>
            <w:vAlign w:val="top"/>
          </w:tcPr>
          <w:p w14:paraId="3CEC66D8">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r>
      <w:tr w14:paraId="34E1003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48B20235">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3D98BF8">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638A8C5">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47AB1F4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7C2D624">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C131F1B">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68C4FD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548D173">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7095A555">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tcBorders>
            <w:noWrap w:val="0"/>
            <w:vAlign w:val="top"/>
          </w:tcPr>
          <w:p w14:paraId="65456DD4">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r>
      <w:tr w14:paraId="79A1125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6C6F299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2E83B9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7C6608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6B0A9917">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3E5784E7">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151F0101">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0DFFCA41">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2E81C944">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right w:val="single" w:color="auto" w:sz="4" w:space="0"/>
            </w:tcBorders>
            <w:noWrap w:val="0"/>
            <w:vAlign w:val="top"/>
          </w:tcPr>
          <w:p w14:paraId="51FF5767">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c>
          <w:tcPr>
            <w:tcW w:w="945" w:type="dxa"/>
            <w:tcBorders>
              <w:top w:val="single" w:color="auto" w:sz="4" w:space="0"/>
              <w:left w:val="single" w:color="auto" w:sz="4" w:space="0"/>
              <w:bottom w:val="single" w:color="auto" w:sz="4" w:space="0"/>
            </w:tcBorders>
            <w:noWrap w:val="0"/>
            <w:vAlign w:val="top"/>
          </w:tcPr>
          <w:p w14:paraId="09CB6EA6">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p>
        </w:tc>
      </w:tr>
      <w:tr w14:paraId="662D91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945" w:type="dxa"/>
            <w:tcBorders>
              <w:top w:val="single" w:color="auto" w:sz="4" w:space="0"/>
              <w:bottom w:val="single" w:color="auto" w:sz="4" w:space="0"/>
              <w:right w:val="single" w:color="auto" w:sz="4" w:space="0"/>
            </w:tcBorders>
            <w:noWrap w:val="0"/>
            <w:vAlign w:val="top"/>
          </w:tcPr>
          <w:p w14:paraId="7F52F1D2">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1D8AE11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C04FDB9">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160FD0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3E5E045A">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8ED0961">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733B62EF">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28B59079">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right w:val="single" w:color="auto" w:sz="4" w:space="0"/>
            </w:tcBorders>
            <w:noWrap w:val="0"/>
            <w:vAlign w:val="top"/>
          </w:tcPr>
          <w:p w14:paraId="5F17B331">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c>
          <w:tcPr>
            <w:tcW w:w="945" w:type="dxa"/>
            <w:tcBorders>
              <w:top w:val="single" w:color="auto" w:sz="4" w:space="0"/>
              <w:left w:val="single" w:color="auto" w:sz="4" w:space="0"/>
              <w:bottom w:val="single" w:color="auto" w:sz="4" w:space="0"/>
            </w:tcBorders>
            <w:noWrap w:val="0"/>
            <w:vAlign w:val="top"/>
          </w:tcPr>
          <w:p w14:paraId="34648DCC">
            <w:pPr>
              <w:tabs>
                <w:tab w:val="left" w:pos="9765"/>
              </w:tabs>
              <w:autoSpaceDE w:val="0"/>
              <w:autoSpaceDN w:val="0"/>
              <w:snapToGrid w:val="0"/>
              <w:spacing w:before="0" w:after="0" w:line="360" w:lineRule="auto"/>
              <w:ind w:left="0" w:right="0"/>
              <w:jc w:val="left"/>
              <w:rPr>
                <w:rFonts w:hint="default" w:ascii="宋体" w:hAnsi="宋体" w:eastAsia="宋体" w:cs="宋体"/>
                <w:color w:val="auto"/>
                <w:sz w:val="21"/>
                <w:szCs w:val="21"/>
                <w:lang w:val="zh-CN" w:bidi="zh-CN"/>
              </w:rPr>
            </w:pPr>
            <w:r>
              <w:rPr>
                <w:rFonts w:hint="default" w:ascii="宋体" w:hAnsi="宋体" w:eastAsia="宋体" w:cs="宋体"/>
                <w:color w:val="auto"/>
                <w:sz w:val="21"/>
                <w:szCs w:val="21"/>
                <w:lang w:val="zh-CN" w:bidi="zh-CN"/>
              </w:rPr>
              <w:t> </w:t>
            </w:r>
          </w:p>
        </w:tc>
      </w:tr>
    </w:tbl>
    <w:p w14:paraId="5A073768">
      <w:pPr>
        <w:tabs>
          <w:tab w:val="left" w:pos="9765"/>
        </w:tabs>
        <w:rPr>
          <w:rFonts w:ascii="宋体" w:hAnsi="宋体" w:cs="宋体"/>
          <w:b/>
          <w:sz w:val="24"/>
          <w:lang w:val="zh-CN"/>
        </w:rPr>
      </w:pPr>
    </w:p>
    <w:p w14:paraId="4D79394A">
      <w:pPr>
        <w:tabs>
          <w:tab w:val="left" w:pos="9765"/>
        </w:tabs>
        <w:spacing w:line="360" w:lineRule="auto"/>
        <w:rPr>
          <w:rFonts w:ascii="宋体" w:hAnsi="宋体" w:cs="宋体"/>
          <w:b/>
          <w:sz w:val="24"/>
        </w:rPr>
      </w:pPr>
      <w:r>
        <w:rPr>
          <w:rFonts w:hint="eastAsia" w:ascii="宋体" w:hAnsi="宋体" w:cs="宋体"/>
          <w:b/>
          <w:sz w:val="24"/>
          <w:lang w:val="zh-CN"/>
        </w:rPr>
        <w:t>注：参加本项目人员须是供应商正式职工。</w:t>
      </w:r>
    </w:p>
    <w:p w14:paraId="49EF2C4D">
      <w:pPr>
        <w:spacing w:line="360" w:lineRule="auto"/>
        <w:rPr>
          <w:rFonts w:ascii="宋体" w:hAnsi="宋体"/>
          <w:sz w:val="24"/>
        </w:rPr>
      </w:pPr>
    </w:p>
    <w:p w14:paraId="570EC45B">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3262641A">
      <w:pPr>
        <w:spacing w:before="25" w:after="25" w:line="360" w:lineRule="auto"/>
        <w:rPr>
          <w:color w:val="000000"/>
          <w:sz w:val="24"/>
          <w:lang w:val="zh-CN"/>
        </w:rPr>
      </w:pPr>
      <w:r>
        <w:rPr>
          <w:color w:val="000000"/>
          <w:sz w:val="24"/>
          <w:szCs w:val="20"/>
        </w:rPr>
        <w:t xml:space="preserve">日期：_____年______月______日   </w:t>
      </w:r>
    </w:p>
    <w:p w14:paraId="69F6B66A">
      <w:pPr>
        <w:rPr>
          <w:color w:val="000000"/>
          <w:sz w:val="24"/>
          <w:szCs w:val="20"/>
        </w:rPr>
      </w:pPr>
      <w:r>
        <w:rPr>
          <w:sz w:val="22"/>
        </w:rPr>
        <w:br w:type="page" w:clear="all"/>
      </w:r>
      <w:bookmarkStart w:id="697" w:name="_Toc288738397"/>
      <w:bookmarkStart w:id="698" w:name="_Toc288738839"/>
      <w:r>
        <w:rPr>
          <w:rFonts w:hint="eastAsia"/>
          <w:color w:val="000000"/>
          <w:sz w:val="24"/>
          <w:szCs w:val="20"/>
          <w:lang w:val="en-US" w:eastAsia="zh-CN"/>
        </w:rPr>
        <w:t>11</w:t>
      </w:r>
      <w:r>
        <w:rPr>
          <w:rFonts w:hint="eastAsia"/>
          <w:color w:val="000000"/>
          <w:sz w:val="24"/>
          <w:szCs w:val="20"/>
        </w:rPr>
        <w:t>相关业绩案例一览表</w:t>
      </w:r>
    </w:p>
    <w:p w14:paraId="0A015609">
      <w:pPr>
        <w:rPr>
          <w:color w:val="000000"/>
          <w:sz w:val="24"/>
          <w:szCs w:val="20"/>
        </w:rPr>
      </w:pPr>
    </w:p>
    <w:p w14:paraId="0956F8FF">
      <w:pPr>
        <w:jc w:val="center"/>
        <w:rPr>
          <w:rFonts w:ascii="宋体" w:hAnsi="宋体"/>
          <w:b/>
          <w:sz w:val="32"/>
          <w:szCs w:val="32"/>
        </w:rPr>
      </w:pPr>
      <w:r>
        <w:rPr>
          <w:rFonts w:hint="eastAsia" w:ascii="宋体" w:hAnsi="宋体"/>
          <w:b/>
          <w:sz w:val="32"/>
          <w:szCs w:val="32"/>
        </w:rPr>
        <w:t>相关业绩案例一览表</w:t>
      </w:r>
      <w:bookmarkEnd w:id="697"/>
      <w:bookmarkEnd w:id="698"/>
    </w:p>
    <w:p w14:paraId="42724136">
      <w:pPr>
        <w:spacing w:line="360" w:lineRule="auto"/>
        <w:jc w:val="center"/>
        <w:rPr>
          <w:rFonts w:ascii="宋体" w:hAnsi="宋体"/>
          <w:b/>
          <w:sz w:val="28"/>
          <w:szCs w:val="30"/>
        </w:rPr>
      </w:pPr>
    </w:p>
    <w:p w14:paraId="06F1AA8B">
      <w:pPr>
        <w:spacing w:line="360" w:lineRule="auto"/>
        <w:ind w:firstLine="480"/>
        <w:rPr>
          <w:rFonts w:ascii="宋体" w:hAnsi="宋体" w:cs="宋体"/>
          <w:sz w:val="24"/>
        </w:rPr>
      </w:pPr>
      <w:r>
        <w:rPr>
          <w:rFonts w:hint="eastAsia" w:ascii="宋体" w:hAnsi="宋体" w:cs="宋体"/>
          <w:sz w:val="24"/>
        </w:rPr>
        <w:t>项目编号：</w:t>
      </w:r>
      <w:r>
        <w:rPr>
          <w:rFonts w:hint="eastAsia" w:ascii="宋体" w:hAnsi="宋体" w:cs="宋体"/>
          <w:sz w:val="24"/>
          <w:u w:val="single"/>
        </w:rPr>
        <w:t xml:space="preserve">                   </w:t>
      </w:r>
    </w:p>
    <w:tbl>
      <w:tblPr>
        <w:tblStyle w:val="29"/>
        <w:tblW w:w="9011" w:type="dxa"/>
        <w:jc w:val="center"/>
        <w:tblLayout w:type="fixed"/>
        <w:tblCellMar>
          <w:top w:w="0" w:type="dxa"/>
          <w:left w:w="108" w:type="dxa"/>
          <w:bottom w:w="0" w:type="dxa"/>
          <w:right w:w="108" w:type="dxa"/>
        </w:tblCellMar>
      </w:tblPr>
      <w:tblGrid>
        <w:gridCol w:w="1284"/>
        <w:gridCol w:w="1681"/>
        <w:gridCol w:w="1521"/>
        <w:gridCol w:w="1198"/>
        <w:gridCol w:w="1730"/>
        <w:gridCol w:w="1597"/>
      </w:tblGrid>
      <w:tr w14:paraId="13D30757">
        <w:tblPrEx>
          <w:tblCellMar>
            <w:top w:w="0" w:type="dxa"/>
            <w:left w:w="108" w:type="dxa"/>
            <w:bottom w:w="0" w:type="dxa"/>
            <w:right w:w="108" w:type="dxa"/>
          </w:tblCellMar>
        </w:tblPrEx>
        <w:trPr>
          <w:trHeight w:val="498" w:hRule="atLeast"/>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8E1EFA8">
            <w:pPr>
              <w:tabs>
                <w:tab w:val="left" w:pos="9765"/>
              </w:tabs>
              <w:spacing w:line="360" w:lineRule="auto"/>
              <w:jc w:val="center"/>
              <w:rPr>
                <w:rFonts w:ascii="宋体" w:hAnsi="宋体" w:cs="宋体"/>
                <w:sz w:val="24"/>
                <w:lang w:val="zh-CN"/>
              </w:rPr>
            </w:pPr>
            <w:r>
              <w:rPr>
                <w:rFonts w:hint="eastAsia" w:ascii="宋体" w:hAnsi="宋体" w:cs="宋体"/>
                <w:sz w:val="24"/>
                <w:lang w:val="zh-CN"/>
              </w:rPr>
              <w:t>项目时间</w:t>
            </w: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64F8ECBF">
            <w:pPr>
              <w:tabs>
                <w:tab w:val="left" w:pos="9765"/>
              </w:tabs>
              <w:spacing w:line="360" w:lineRule="auto"/>
              <w:jc w:val="center"/>
              <w:rPr>
                <w:rFonts w:ascii="宋体" w:hAnsi="宋体" w:cs="宋体"/>
                <w:sz w:val="24"/>
                <w:lang w:val="zh-CN"/>
              </w:rPr>
            </w:pPr>
            <w:r>
              <w:rPr>
                <w:rFonts w:hint="eastAsia" w:ascii="宋体" w:hAnsi="宋体" w:cs="宋体"/>
                <w:sz w:val="24"/>
                <w:lang w:val="zh-CN"/>
              </w:rPr>
              <w:t>项目甲方单位</w:t>
            </w: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4765E38A">
            <w:pPr>
              <w:tabs>
                <w:tab w:val="left" w:pos="9765"/>
              </w:tabs>
              <w:spacing w:line="360" w:lineRule="auto"/>
              <w:jc w:val="center"/>
              <w:rPr>
                <w:rFonts w:ascii="宋体" w:hAnsi="宋体" w:cs="宋体"/>
                <w:sz w:val="24"/>
                <w:lang w:val="zh-CN"/>
              </w:rPr>
            </w:pPr>
            <w:r>
              <w:rPr>
                <w:rFonts w:hint="eastAsia" w:ascii="宋体" w:hAnsi="宋体" w:cs="宋体"/>
                <w:sz w:val="24"/>
                <w:lang w:val="zh-CN"/>
              </w:rPr>
              <w:t>项目名称</w:t>
            </w: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E85295D">
            <w:pPr>
              <w:tabs>
                <w:tab w:val="left" w:pos="9765"/>
              </w:tabs>
              <w:spacing w:line="360" w:lineRule="auto"/>
              <w:jc w:val="center"/>
              <w:rPr>
                <w:rFonts w:ascii="宋体" w:hAnsi="宋体" w:cs="宋体"/>
                <w:sz w:val="24"/>
                <w:lang w:val="zh-CN"/>
              </w:rPr>
            </w:pPr>
            <w:r>
              <w:rPr>
                <w:rFonts w:hint="eastAsia" w:ascii="宋体" w:hAnsi="宋体" w:cs="宋体"/>
                <w:sz w:val="24"/>
                <w:lang w:val="zh-CN"/>
              </w:rPr>
              <w:t>合同金额</w:t>
            </w: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D0AC8AB">
            <w:pPr>
              <w:tabs>
                <w:tab w:val="left" w:pos="9765"/>
              </w:tabs>
              <w:spacing w:line="360" w:lineRule="auto"/>
              <w:jc w:val="center"/>
              <w:rPr>
                <w:rFonts w:ascii="宋体" w:hAnsi="宋体" w:cs="宋体"/>
                <w:sz w:val="24"/>
                <w:lang w:val="zh-CN"/>
              </w:rPr>
            </w:pPr>
            <w:r>
              <w:rPr>
                <w:rFonts w:hint="eastAsia" w:ascii="宋体" w:hAnsi="宋体" w:cs="宋体"/>
                <w:sz w:val="24"/>
                <w:lang w:val="zh-CN"/>
              </w:rPr>
              <w:t>单位地址</w:t>
            </w: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41BA9FF4">
            <w:pPr>
              <w:tabs>
                <w:tab w:val="left" w:pos="9765"/>
              </w:tabs>
              <w:spacing w:line="360" w:lineRule="auto"/>
              <w:jc w:val="center"/>
              <w:rPr>
                <w:rFonts w:ascii="宋体" w:hAnsi="宋体" w:cs="宋体"/>
                <w:sz w:val="24"/>
                <w:lang w:val="zh-CN"/>
              </w:rPr>
            </w:pPr>
            <w:r>
              <w:rPr>
                <w:rFonts w:hint="eastAsia" w:ascii="宋体" w:hAnsi="宋体" w:cs="宋体"/>
                <w:sz w:val="24"/>
                <w:lang w:val="zh-CN"/>
              </w:rPr>
              <w:t>联系电话</w:t>
            </w:r>
          </w:p>
        </w:tc>
      </w:tr>
      <w:tr w14:paraId="09FC1A09">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center"/>
          </w:tcPr>
          <w:p w14:paraId="09C9980E">
            <w:pPr>
              <w:tabs>
                <w:tab w:val="left" w:pos="9765"/>
              </w:tabs>
              <w:spacing w:line="360" w:lineRule="auto"/>
              <w:jc w:val="center"/>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center"/>
          </w:tcPr>
          <w:p w14:paraId="50023F1B">
            <w:pPr>
              <w:tabs>
                <w:tab w:val="left" w:pos="9765"/>
              </w:tabs>
              <w:spacing w:line="360" w:lineRule="auto"/>
              <w:jc w:val="center"/>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center"/>
          </w:tcPr>
          <w:p w14:paraId="7AE57C36">
            <w:pPr>
              <w:tabs>
                <w:tab w:val="left" w:pos="9765"/>
              </w:tabs>
              <w:spacing w:line="360" w:lineRule="auto"/>
              <w:jc w:val="center"/>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center"/>
          </w:tcPr>
          <w:p w14:paraId="3C8C136B">
            <w:pPr>
              <w:tabs>
                <w:tab w:val="left" w:pos="9765"/>
              </w:tabs>
              <w:spacing w:line="360" w:lineRule="auto"/>
              <w:jc w:val="center"/>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center"/>
          </w:tcPr>
          <w:p w14:paraId="64BB3937">
            <w:pPr>
              <w:tabs>
                <w:tab w:val="left" w:pos="9765"/>
              </w:tabs>
              <w:spacing w:line="360" w:lineRule="auto"/>
              <w:ind w:hanging="523"/>
              <w:jc w:val="center"/>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center"/>
          </w:tcPr>
          <w:p w14:paraId="36891335">
            <w:pPr>
              <w:tabs>
                <w:tab w:val="left" w:pos="9765"/>
              </w:tabs>
              <w:spacing w:line="360" w:lineRule="auto"/>
              <w:ind w:hanging="523"/>
              <w:jc w:val="center"/>
              <w:rPr>
                <w:rFonts w:ascii="宋体" w:hAnsi="宋体" w:cs="宋体"/>
                <w:sz w:val="24"/>
              </w:rPr>
            </w:pPr>
          </w:p>
        </w:tc>
      </w:tr>
      <w:tr w14:paraId="45D2E935">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E0DBC1">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14E2B9A">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955FE4C">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1FC32E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ACD1E4D">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28439BED">
            <w:pPr>
              <w:tabs>
                <w:tab w:val="left" w:pos="9765"/>
              </w:tabs>
              <w:spacing w:line="360" w:lineRule="auto"/>
              <w:rPr>
                <w:rFonts w:ascii="宋体" w:hAnsi="宋体" w:cs="宋体"/>
                <w:sz w:val="24"/>
              </w:rPr>
            </w:pPr>
          </w:p>
        </w:tc>
      </w:tr>
      <w:tr w14:paraId="2FDE295F">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3441BB93">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21E2F9C">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60E2A84B">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67B256C">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7760769E">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630E8F5">
            <w:pPr>
              <w:tabs>
                <w:tab w:val="left" w:pos="9765"/>
              </w:tabs>
              <w:spacing w:line="360" w:lineRule="auto"/>
              <w:rPr>
                <w:rFonts w:ascii="宋体" w:hAnsi="宋体" w:cs="宋体"/>
                <w:sz w:val="24"/>
              </w:rPr>
            </w:pPr>
          </w:p>
        </w:tc>
      </w:tr>
      <w:tr w14:paraId="710810E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9D67599">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7413711E">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4D72A8D9">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412DC2D">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10B58CF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5B01C90E">
            <w:pPr>
              <w:tabs>
                <w:tab w:val="left" w:pos="9765"/>
              </w:tabs>
              <w:spacing w:line="360" w:lineRule="auto"/>
              <w:rPr>
                <w:rFonts w:ascii="宋体" w:hAnsi="宋体" w:cs="宋体"/>
                <w:sz w:val="24"/>
              </w:rPr>
            </w:pPr>
          </w:p>
        </w:tc>
      </w:tr>
      <w:tr w14:paraId="47905716">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AAAE59B">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D952D90">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303977B">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1A966D2">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3FFD4977">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46CFE1E">
            <w:pPr>
              <w:tabs>
                <w:tab w:val="left" w:pos="9765"/>
              </w:tabs>
              <w:spacing w:line="360" w:lineRule="auto"/>
              <w:rPr>
                <w:rFonts w:ascii="宋体" w:hAnsi="宋体" w:cs="宋体"/>
                <w:sz w:val="24"/>
              </w:rPr>
            </w:pPr>
          </w:p>
        </w:tc>
      </w:tr>
      <w:tr w14:paraId="60BEF5E3">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A99A44A">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57635A9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A8672AA">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33240DB5">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41BBCD97">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01CB94B6">
            <w:pPr>
              <w:tabs>
                <w:tab w:val="left" w:pos="9765"/>
              </w:tabs>
              <w:spacing w:line="360" w:lineRule="auto"/>
              <w:rPr>
                <w:rFonts w:ascii="宋体" w:hAnsi="宋体" w:cs="宋体"/>
                <w:sz w:val="24"/>
              </w:rPr>
            </w:pPr>
          </w:p>
        </w:tc>
      </w:tr>
      <w:tr w14:paraId="0766D9CE">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7D18F281">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03D588ED">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1C99D42B">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79DBF032">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65D76C76">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60C711B4">
            <w:pPr>
              <w:tabs>
                <w:tab w:val="left" w:pos="9765"/>
              </w:tabs>
              <w:spacing w:line="360" w:lineRule="auto"/>
              <w:rPr>
                <w:rFonts w:ascii="宋体" w:hAnsi="宋体" w:cs="宋体"/>
                <w:sz w:val="24"/>
              </w:rPr>
            </w:pPr>
          </w:p>
        </w:tc>
      </w:tr>
      <w:tr w14:paraId="2406334A">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6E85C316">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66BA1E05">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2C7ED878">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10F98DEF">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244969A0">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7147CA8A">
            <w:pPr>
              <w:tabs>
                <w:tab w:val="left" w:pos="9765"/>
              </w:tabs>
              <w:spacing w:line="360" w:lineRule="auto"/>
              <w:rPr>
                <w:rFonts w:ascii="宋体" w:hAnsi="宋体" w:cs="宋体"/>
                <w:sz w:val="24"/>
              </w:rPr>
            </w:pPr>
          </w:p>
        </w:tc>
      </w:tr>
      <w:tr w14:paraId="32446F84">
        <w:tblPrEx>
          <w:tblCellMar>
            <w:top w:w="0" w:type="dxa"/>
            <w:left w:w="108" w:type="dxa"/>
            <w:bottom w:w="0" w:type="dxa"/>
            <w:right w:w="108" w:type="dxa"/>
          </w:tblCellMar>
        </w:tblPrEx>
        <w:trPr>
          <w:jc w:val="center"/>
        </w:trPr>
        <w:tc>
          <w:tcPr>
            <w:tcW w:w="1284" w:type="dxa"/>
            <w:tcBorders>
              <w:top w:val="single" w:color="000000" w:sz="6" w:space="0"/>
              <w:left w:val="single" w:color="000000" w:sz="6" w:space="0"/>
              <w:bottom w:val="single" w:color="000000" w:sz="6" w:space="0"/>
              <w:right w:val="single" w:color="000000" w:sz="6" w:space="0"/>
            </w:tcBorders>
            <w:noWrap w:val="0"/>
            <w:vAlign w:val="top"/>
          </w:tcPr>
          <w:p w14:paraId="0AA0134C">
            <w:pPr>
              <w:tabs>
                <w:tab w:val="left" w:pos="9765"/>
              </w:tabs>
              <w:spacing w:line="360" w:lineRule="auto"/>
              <w:rPr>
                <w:rFonts w:ascii="宋体" w:hAnsi="宋体" w:cs="宋体"/>
                <w:sz w:val="24"/>
              </w:rPr>
            </w:pPr>
          </w:p>
        </w:tc>
        <w:tc>
          <w:tcPr>
            <w:tcW w:w="1681" w:type="dxa"/>
            <w:tcBorders>
              <w:top w:val="single" w:color="000000" w:sz="6" w:space="0"/>
              <w:left w:val="single" w:color="000000" w:sz="6" w:space="0"/>
              <w:bottom w:val="single" w:color="000000" w:sz="6" w:space="0"/>
              <w:right w:val="single" w:color="000000" w:sz="6" w:space="0"/>
            </w:tcBorders>
            <w:noWrap w:val="0"/>
            <w:vAlign w:val="top"/>
          </w:tcPr>
          <w:p w14:paraId="1F9C18F3">
            <w:pPr>
              <w:tabs>
                <w:tab w:val="left" w:pos="9765"/>
              </w:tabs>
              <w:spacing w:line="360" w:lineRule="auto"/>
              <w:rPr>
                <w:rFonts w:ascii="宋体" w:hAnsi="宋体" w:cs="宋体"/>
                <w:sz w:val="24"/>
              </w:rPr>
            </w:pPr>
          </w:p>
        </w:tc>
        <w:tc>
          <w:tcPr>
            <w:tcW w:w="1521" w:type="dxa"/>
            <w:tcBorders>
              <w:top w:val="single" w:color="000000" w:sz="6" w:space="0"/>
              <w:left w:val="single" w:color="000000" w:sz="6" w:space="0"/>
              <w:bottom w:val="single" w:color="000000" w:sz="6" w:space="0"/>
              <w:right w:val="single" w:color="000000" w:sz="6" w:space="0"/>
            </w:tcBorders>
            <w:noWrap w:val="0"/>
            <w:vAlign w:val="top"/>
          </w:tcPr>
          <w:p w14:paraId="5364AF73">
            <w:pPr>
              <w:tabs>
                <w:tab w:val="left" w:pos="9765"/>
              </w:tabs>
              <w:spacing w:line="360" w:lineRule="auto"/>
              <w:rPr>
                <w:rFonts w:ascii="宋体" w:hAnsi="宋体" w:cs="宋体"/>
                <w:sz w:val="24"/>
              </w:rPr>
            </w:pPr>
          </w:p>
        </w:tc>
        <w:tc>
          <w:tcPr>
            <w:tcW w:w="1198" w:type="dxa"/>
            <w:tcBorders>
              <w:top w:val="single" w:color="000000" w:sz="6" w:space="0"/>
              <w:left w:val="single" w:color="000000" w:sz="6" w:space="0"/>
              <w:bottom w:val="single" w:color="000000" w:sz="6" w:space="0"/>
              <w:right w:val="single" w:color="000000" w:sz="6" w:space="0"/>
            </w:tcBorders>
            <w:noWrap w:val="0"/>
            <w:vAlign w:val="top"/>
          </w:tcPr>
          <w:p w14:paraId="039C6FBB">
            <w:pPr>
              <w:tabs>
                <w:tab w:val="left" w:pos="9765"/>
              </w:tabs>
              <w:spacing w:line="360" w:lineRule="auto"/>
              <w:rPr>
                <w:rFonts w:ascii="宋体" w:hAnsi="宋体" w:cs="宋体"/>
                <w:sz w:val="24"/>
              </w:rPr>
            </w:pPr>
          </w:p>
        </w:tc>
        <w:tc>
          <w:tcPr>
            <w:tcW w:w="1730" w:type="dxa"/>
            <w:tcBorders>
              <w:top w:val="single" w:color="000000" w:sz="6" w:space="0"/>
              <w:left w:val="single" w:color="000000" w:sz="6" w:space="0"/>
              <w:bottom w:val="single" w:color="000000" w:sz="6" w:space="0"/>
              <w:right w:val="single" w:color="000000" w:sz="6" w:space="0"/>
            </w:tcBorders>
            <w:noWrap w:val="0"/>
            <w:vAlign w:val="top"/>
          </w:tcPr>
          <w:p w14:paraId="549F9DB1">
            <w:pPr>
              <w:tabs>
                <w:tab w:val="left" w:pos="9765"/>
              </w:tabs>
              <w:spacing w:line="360" w:lineRule="auto"/>
              <w:rPr>
                <w:rFonts w:ascii="宋体" w:hAnsi="宋体" w:cs="宋体"/>
                <w:sz w:val="24"/>
              </w:rPr>
            </w:pPr>
          </w:p>
        </w:tc>
        <w:tc>
          <w:tcPr>
            <w:tcW w:w="1597" w:type="dxa"/>
            <w:tcBorders>
              <w:top w:val="single" w:color="000000" w:sz="6" w:space="0"/>
              <w:left w:val="single" w:color="000000" w:sz="6" w:space="0"/>
              <w:bottom w:val="single" w:color="000000" w:sz="6" w:space="0"/>
              <w:right w:val="single" w:color="000000" w:sz="6" w:space="0"/>
            </w:tcBorders>
            <w:noWrap w:val="0"/>
            <w:vAlign w:val="top"/>
          </w:tcPr>
          <w:p w14:paraId="39525AD6">
            <w:pPr>
              <w:tabs>
                <w:tab w:val="left" w:pos="9765"/>
              </w:tabs>
              <w:spacing w:line="360" w:lineRule="auto"/>
              <w:rPr>
                <w:rFonts w:ascii="宋体" w:hAnsi="宋体" w:cs="宋体"/>
                <w:sz w:val="24"/>
              </w:rPr>
            </w:pPr>
          </w:p>
        </w:tc>
      </w:tr>
    </w:tbl>
    <w:p w14:paraId="404AF5AF">
      <w:pPr>
        <w:tabs>
          <w:tab w:val="left" w:pos="9765"/>
        </w:tabs>
        <w:rPr>
          <w:rFonts w:ascii="宋体" w:hAnsi="宋体" w:cs="宋体"/>
          <w:sz w:val="24"/>
          <w:lang w:val="zh-CN"/>
        </w:rPr>
      </w:pPr>
    </w:p>
    <w:p w14:paraId="654E5F26">
      <w:pPr>
        <w:spacing w:line="360" w:lineRule="auto"/>
        <w:rPr>
          <w:rFonts w:ascii="宋体" w:hAnsi="宋体" w:cs="宋体"/>
          <w:sz w:val="24"/>
        </w:rPr>
      </w:pPr>
    </w:p>
    <w:p w14:paraId="11C882AA">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0029045">
      <w:pPr>
        <w:spacing w:before="25" w:after="25" w:line="360" w:lineRule="auto"/>
        <w:rPr>
          <w:color w:val="000000"/>
          <w:sz w:val="24"/>
          <w:lang w:val="zh-CN"/>
        </w:rPr>
      </w:pPr>
      <w:r>
        <w:rPr>
          <w:color w:val="000000"/>
          <w:sz w:val="24"/>
          <w:szCs w:val="20"/>
        </w:rPr>
        <w:t xml:space="preserve">日期：_____年______月______日   </w:t>
      </w:r>
    </w:p>
    <w:p w14:paraId="1578689B">
      <w:pPr>
        <w:spacing w:line="360" w:lineRule="auto"/>
        <w:outlineLvl w:val="2"/>
        <w:rPr>
          <w:rFonts w:hint="eastAsia"/>
          <w:color w:val="000000"/>
          <w:sz w:val="24"/>
          <w:szCs w:val="20"/>
        </w:rPr>
      </w:pPr>
    </w:p>
    <w:p w14:paraId="275D8BA6">
      <w:pPr>
        <w:spacing w:line="360" w:lineRule="auto"/>
        <w:outlineLvl w:val="2"/>
        <w:rPr>
          <w:sz w:val="24"/>
        </w:rPr>
      </w:pPr>
      <w:r>
        <w:rPr>
          <w:rFonts w:hint="eastAsia"/>
          <w:color w:val="000000"/>
          <w:sz w:val="24"/>
          <w:szCs w:val="20"/>
        </w:rPr>
        <w:br w:type="page" w:clear="all"/>
      </w:r>
      <w:r>
        <w:rPr>
          <w:rFonts w:hint="eastAsia"/>
          <w:sz w:val="24"/>
          <w:szCs w:val="20"/>
        </w:rPr>
        <w:t>1</w:t>
      </w:r>
      <w:r>
        <w:rPr>
          <w:rFonts w:hint="eastAsia"/>
          <w:sz w:val="24"/>
          <w:szCs w:val="20"/>
          <w:lang w:val="en-US" w:eastAsia="zh-CN"/>
        </w:rPr>
        <w:t>2</w:t>
      </w:r>
      <w:r>
        <w:rPr>
          <w:sz w:val="24"/>
          <w:szCs w:val="20"/>
        </w:rPr>
        <w:t>磋商文件要求提供或供应商认为应附的其他材料</w:t>
      </w:r>
    </w:p>
    <w:p w14:paraId="0A26C270">
      <w:pPr>
        <w:spacing w:line="360" w:lineRule="auto"/>
        <w:outlineLvl w:val="2"/>
        <w:rPr>
          <w:rFonts w:hint="eastAsia"/>
          <w:color w:val="000000"/>
          <w:sz w:val="24"/>
          <w:szCs w:val="20"/>
        </w:rPr>
      </w:pPr>
    </w:p>
    <w:p w14:paraId="1A4AFC94">
      <w:pPr>
        <w:spacing w:line="360" w:lineRule="auto"/>
        <w:outlineLvl w:val="2"/>
        <w:rPr>
          <w:rFonts w:hint="eastAsia"/>
          <w:color w:val="000000"/>
          <w:sz w:val="24"/>
          <w:szCs w:val="20"/>
        </w:rPr>
      </w:pPr>
    </w:p>
    <w:p w14:paraId="6AA78CAD">
      <w:pPr>
        <w:spacing w:line="360" w:lineRule="auto"/>
        <w:outlineLvl w:val="2"/>
        <w:rPr>
          <w:rFonts w:hint="eastAsia"/>
          <w:color w:val="000000"/>
          <w:sz w:val="24"/>
          <w:szCs w:val="20"/>
        </w:rPr>
      </w:pPr>
    </w:p>
    <w:p w14:paraId="5267C840">
      <w:pPr>
        <w:spacing w:line="360" w:lineRule="auto"/>
        <w:outlineLvl w:val="2"/>
        <w:rPr>
          <w:rFonts w:hint="eastAsia"/>
          <w:color w:val="000000"/>
          <w:sz w:val="24"/>
          <w:szCs w:val="20"/>
        </w:rPr>
      </w:pPr>
    </w:p>
    <w:p w14:paraId="4F3761AD">
      <w:pPr>
        <w:spacing w:line="360" w:lineRule="auto"/>
        <w:outlineLvl w:val="2"/>
        <w:rPr>
          <w:rFonts w:hint="eastAsia"/>
          <w:color w:val="000000"/>
          <w:sz w:val="24"/>
          <w:szCs w:val="20"/>
        </w:rPr>
      </w:pPr>
    </w:p>
    <w:p w14:paraId="6713B1A5">
      <w:pPr>
        <w:spacing w:line="360" w:lineRule="auto"/>
        <w:outlineLvl w:val="2"/>
        <w:rPr>
          <w:rFonts w:hint="eastAsia"/>
          <w:color w:val="000000"/>
          <w:sz w:val="24"/>
          <w:szCs w:val="20"/>
        </w:rPr>
      </w:pPr>
    </w:p>
    <w:p w14:paraId="12460036">
      <w:pPr>
        <w:spacing w:line="360" w:lineRule="auto"/>
        <w:outlineLvl w:val="2"/>
        <w:rPr>
          <w:rFonts w:hint="eastAsia"/>
          <w:color w:val="000000"/>
          <w:sz w:val="24"/>
          <w:szCs w:val="20"/>
        </w:rPr>
      </w:pPr>
    </w:p>
    <w:p w14:paraId="78189BD1">
      <w:pPr>
        <w:spacing w:line="360" w:lineRule="auto"/>
        <w:outlineLvl w:val="2"/>
        <w:rPr>
          <w:rFonts w:hint="eastAsia"/>
          <w:color w:val="000000"/>
          <w:sz w:val="24"/>
          <w:szCs w:val="20"/>
        </w:rPr>
      </w:pPr>
    </w:p>
    <w:p w14:paraId="15E1402B">
      <w:pPr>
        <w:spacing w:line="360" w:lineRule="auto"/>
        <w:outlineLvl w:val="2"/>
        <w:rPr>
          <w:rFonts w:hint="eastAsia"/>
          <w:color w:val="000000"/>
          <w:sz w:val="24"/>
          <w:szCs w:val="20"/>
        </w:rPr>
      </w:pPr>
    </w:p>
    <w:p w14:paraId="273FB0DF">
      <w:pPr>
        <w:spacing w:line="360" w:lineRule="auto"/>
        <w:outlineLvl w:val="2"/>
        <w:rPr>
          <w:rFonts w:hint="eastAsia"/>
          <w:color w:val="000000"/>
          <w:sz w:val="24"/>
          <w:szCs w:val="20"/>
        </w:rPr>
      </w:pPr>
    </w:p>
    <w:sectPr>
      <w:headerReference r:id="rId19" w:type="first"/>
      <w:footerReference r:id="rId21" w:type="first"/>
      <w:headerReference r:id="rId18" w:type="even"/>
      <w:footerReference r:id="rId20" w:type="even"/>
      <w:pgSz w:w="11907" w:h="16840"/>
      <w:pgMar w:top="1418" w:right="1134" w:bottom="1418" w:left="1701" w:header="851" w:footer="851" w:gutter="0"/>
      <w:pgBorders>
        <w:top w:val="none" w:sz="0" w:space="0"/>
        <w:left w:val="none" w:sz="0" w:space="0"/>
        <w:bottom w:val="none" w:sz="0" w:space="0"/>
        <w:right w:val="none" w:sz="0" w:space="0"/>
      </w:pgBorders>
      <w:pgNumType w:fmt="decimal"/>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auto"/>
    <w:pitch w:val="default"/>
    <w:sig w:usb0="00000000" w:usb1="00000000" w:usb2="00000000" w:usb3="00000000" w:csb0="00040000" w:csb1="00000000"/>
  </w:font>
  <w:font w:name="ˎ̥">
    <w:altName w:val="Yu Gothic UI"/>
    <w:panose1 w:val="020B0503020202020204"/>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Century Gothic">
    <w:panose1 w:val="020B0502020202020204"/>
    <w:charset w:val="00"/>
    <w:family w:val="auto"/>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 w:name="CESI黑体-GB2312">
    <w:altName w:val="黑体"/>
    <w:panose1 w:val="020B0503020202020204"/>
    <w:charset w:val="00"/>
    <w:family w:val="auto"/>
    <w:pitch w:val="default"/>
    <w:sig w:usb0="00000000" w:usb1="00000000" w:usb2="00000000" w:usb3="00000000" w:csb0="00000000" w:csb1="00000000"/>
  </w:font>
  <w:font w:name="KSOFBDAA233C">
    <w:panose1 w:val="02000500000000000000"/>
    <w:charset w:val="86"/>
    <w:family w:val="auto"/>
    <w:pitch w:val="default"/>
    <w:sig w:usb0="00000001" w:usb1="00000000" w:usb2="00000000"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B0092">
    <w:pPr>
      <w:pStyle w:val="230"/>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587F28">
    <w:pPr>
      <w:pStyle w:val="230"/>
      <w:framePr w:wrap="around" w:vAnchor="text" w:hAnchor="margin" w:xAlign="center" w:y="1"/>
      <w:rPr>
        <w:rStyle w:val="255"/>
      </w:rPr>
    </w:pPr>
    <w:r>
      <w:fldChar w:fldCharType="begin"/>
    </w:r>
    <w:r>
      <w:rPr>
        <w:rStyle w:val="255"/>
      </w:rPr>
      <w:instrText xml:space="preserve">PAGE  </w:instrText>
    </w:r>
    <w:r>
      <w:fldChar w:fldCharType="end"/>
    </w:r>
  </w:p>
  <w:p w14:paraId="7586DD7E">
    <w:pPr>
      <w:pStyle w:val="230"/>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F32A36">
    <w:pPr>
      <w:pStyle w:val="23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A6711">
    <w:pPr>
      <w:pStyle w:val="230"/>
      <w:rPr>
        <w:rFonts w:ascii="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B497F">
    <w:pPr>
      <w:pStyle w:val="23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58147D">
    <w:pPr>
      <w:pStyle w:val="230"/>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7CCAF15A">
    <w:pPr>
      <w:pStyle w:val="230"/>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E0D2C">
    <w:pPr>
      <w:spacing w:line="176" w:lineRule="auto"/>
      <w:ind w:left="4448"/>
      <w:rPr>
        <w:rFonts w:ascii="Times New Roman" w:hAnsi="Times New Roman" w:eastAsia="Times New Roman" w:cs="Times New Roman"/>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6AD17">
    <w:pPr>
      <w:spacing w:line="176" w:lineRule="auto"/>
      <w:ind w:left="4448"/>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68DBF">
    <w:pPr>
      <w:spacing w:line="176" w:lineRule="auto"/>
      <w:ind w:left="453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43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A51B33">
    <w:pPr>
      <w:pStyle w:val="230"/>
      <w:ind w:firstLine="480"/>
      <w:jc w:val="center"/>
      <w:rPr>
        <w:rStyle w:val="255"/>
      </w:rPr>
    </w:pPr>
  </w:p>
  <w:p w14:paraId="6910E173">
    <w:pPr>
      <w:pStyle w:val="230"/>
      <w:ind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A013C">
    <w:pPr>
      <w:pStyle w:val="230"/>
      <w:framePr w:wrap="around" w:vAnchor="text" w:hAnchor="margin" w:xAlign="right" w:y="1"/>
      <w:rPr>
        <w:rStyle w:val="255"/>
      </w:rPr>
    </w:pPr>
    <w:r>
      <w:rPr>
        <w:rStyle w:val="255"/>
      </w:rPr>
      <w:fldChar w:fldCharType="begin"/>
    </w:r>
    <w:r>
      <w:rPr>
        <w:rStyle w:val="255"/>
      </w:rPr>
      <w:instrText xml:space="preserve">PAGE  </w:instrText>
    </w:r>
    <w:r>
      <w:rPr>
        <w:rStyle w:val="255"/>
      </w:rPr>
      <w:fldChar w:fldCharType="end"/>
    </w:r>
  </w:p>
  <w:p w14:paraId="37498698">
    <w:pPr>
      <w:pStyle w:val="230"/>
      <w:ind w:right="360"/>
    </w:pPr>
  </w:p>
  <w:p w14:paraId="4A6D699C"/>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E6A13">
    <w:pPr>
      <w:pStyle w:val="2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9B880B">
    <w:pPr>
      <w:pStyle w:val="232"/>
      <w:pBdr>
        <w:bottom w:val="none" w:color="000000" w:sz="0" w:space="1"/>
      </w:pBdr>
      <w:jc w:val="both"/>
      <w:rPr>
        <w:rFonts w:hint="eastAsia" w:eastAsia="仿宋"/>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4909EA">
    <w:pPr>
      <w:pStyle w:val="232"/>
      <w:pBdr>
        <w:bottom w:val="none" w:color="000000" w:sz="0" w:space="1"/>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167975">
    <w:pPr>
      <w:pStyle w:val="13"/>
      <w:spacing w:before="15" w:line="220" w:lineRule="auto"/>
      <w:jc w:val="right"/>
      <w:rPr>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96B85">
    <w:pPr>
      <w:pStyle w:val="13"/>
      <w:spacing w:before="15" w:line="220" w:lineRule="auto"/>
      <w:jc w:val="right"/>
      <w:rPr>
        <w:sz w:val="18"/>
        <w:szCs w:val="18"/>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1BA586">
    <w:pPr>
      <w:pStyle w:val="232"/>
      <w:pBdr>
        <w:bottom w:val="none" w:color="000000" w:sz="0" w:space="1"/>
      </w:pBdr>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D3F75">
    <w:pPr>
      <w:pStyle w:val="232"/>
    </w:pPr>
  </w:p>
  <w:p w14:paraId="5B713CA9"/>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029090">
    <w:pPr>
      <w:pStyle w:val="23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space"/>
      <w:lvlText w:val="%1"/>
      <w:lvlJc w:val="left"/>
      <w:pPr>
        <w:ind w:left="0" w:firstLine="0"/>
      </w:pPr>
      <w:rPr>
        <w:rFonts w:hint="eastAsia"/>
      </w:rPr>
    </w:lvl>
    <w:lvl w:ilvl="1" w:tentative="0">
      <w:start w:val="1"/>
      <w:numFmt w:val="decimal"/>
      <w:suff w:val="space"/>
      <w:lvlText w:val="%1.%2"/>
      <w:lvlJc w:val="left"/>
      <w:pPr>
        <w:ind w:left="0" w:firstLine="568"/>
      </w:pPr>
      <w:rPr>
        <w:rFonts w:ascii="Times New Roman" w:hAnsi="Times New Roman" w:cs="Times New Roman"/>
        <w:sz w:val="24"/>
        <w:szCs w:val="24"/>
      </w:rPr>
    </w:lvl>
    <w:lvl w:ilvl="2" w:tentative="0">
      <w:start w:val="1"/>
      <w:numFmt w:val="decimal"/>
      <w:suff w:val="space"/>
      <w:lvlText w:val="%1.%2.%3"/>
      <w:lvlJc w:val="left"/>
      <w:pPr>
        <w:ind w:left="0" w:firstLine="108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A2BA556F"/>
    <w:multiLevelType w:val="singleLevel"/>
    <w:tmpl w:val="A2BA556F"/>
    <w:lvl w:ilvl="0" w:tentative="0">
      <w:start w:val="3"/>
      <w:numFmt w:val="decimal"/>
      <w:suff w:val="nothing"/>
      <w:lvlText w:val="%1、"/>
      <w:lvlJc w:val="left"/>
    </w:lvl>
  </w:abstractNum>
  <w:abstractNum w:abstractNumId="2">
    <w:nsid w:val="B5E306ED"/>
    <w:multiLevelType w:val="multilevel"/>
    <w:tmpl w:val="B5E306ED"/>
    <w:lvl w:ilvl="0" w:tentative="0">
      <w:start w:val="1"/>
      <w:numFmt w:val="decimal"/>
      <w:pStyle w:val="337"/>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4">
    <w:nsid w:val="C8879AEF"/>
    <w:multiLevelType w:val="multilevel"/>
    <w:tmpl w:val="C8879AEF"/>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CF092B84"/>
    <w:multiLevelType w:val="multilevel"/>
    <w:tmpl w:val="CF092B84"/>
    <w:lvl w:ilvl="0" w:tentative="0">
      <w:start w:val="1"/>
      <w:numFmt w:val="decimal"/>
      <w:pStyle w:val="291"/>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053208E"/>
    <w:multiLevelType w:val="multilevel"/>
    <w:tmpl w:val="0053208E"/>
    <w:lvl w:ilvl="0" w:tentative="0">
      <w:start w:val="1"/>
      <w:numFmt w:val="decimal"/>
      <w:pStyle w:val="286"/>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5"/>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2"/>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1"/>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0"/>
      <w:suff w:val="nothing"/>
      <w:lvlText w:val="%1.%2.%3.%4.%5.%6　"/>
      <w:lvlJc w:val="left"/>
      <w:pPr>
        <w:ind w:left="-25" w:firstLine="0"/>
      </w:pPr>
      <w:rPr>
        <w:rFonts w:ascii="Times New Roman" w:hAnsi="Times New Roman" w:eastAsia="宋体"/>
        <w:b/>
        <w:i w:val="0"/>
        <w:sz w:val="28"/>
      </w:rPr>
    </w:lvl>
    <w:lvl w:ilvl="6" w:tentative="0">
      <w:start w:val="1"/>
      <w:numFmt w:val="lowerLetter"/>
      <w:pStyle w:val="343"/>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6"/>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7">
    <w:nsid w:val="0248C179"/>
    <w:multiLevelType w:val="multilevel"/>
    <w:tmpl w:val="0248C179"/>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lowerLetter"/>
      <w:pStyle w:val="366"/>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9">
    <w:nsid w:val="25B654F3"/>
    <w:multiLevelType w:val="multilevel"/>
    <w:tmpl w:val="25B654F3"/>
    <w:lvl w:ilvl="0" w:tentative="0">
      <w:start w:val="1"/>
      <w:numFmt w:val="decimal"/>
      <w:pStyle w:val="391"/>
      <w:lvlText w:val="%1"/>
      <w:lvlJc w:val="left"/>
      <w:pPr>
        <w:ind w:left="680" w:hanging="680"/>
      </w:pPr>
      <w:rPr>
        <w:rFonts w:hint="eastAsia" w:ascii="宋体" w:hAnsi="宋体" w:eastAsia="宋体"/>
      </w:rPr>
    </w:lvl>
    <w:lvl w:ilvl="1" w:tentative="0">
      <w:start w:val="1"/>
      <w:numFmt w:val="decimal"/>
      <w:pStyle w:val="392"/>
      <w:lvlText w:val="%1.%2"/>
      <w:lvlJc w:val="left"/>
      <w:pPr>
        <w:ind w:left="851" w:hanging="851"/>
      </w:pPr>
      <w:rPr>
        <w:rFonts w:hint="eastAsia" w:ascii="宋体" w:hAnsi="宋体" w:eastAsia="宋体"/>
        <w:color w:val="000000"/>
      </w:rPr>
    </w:lvl>
    <w:lvl w:ilvl="2" w:tentative="0">
      <w:start w:val="1"/>
      <w:numFmt w:val="decimal"/>
      <w:pStyle w:val="3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2A8F537B"/>
    <w:multiLevelType w:val="multilevel"/>
    <w:tmpl w:val="2A8F537B"/>
    <w:lvl w:ilvl="0" w:tentative="0">
      <w:start w:val="1"/>
      <w:numFmt w:val="japaneseCounting"/>
      <w:suff w:val="space"/>
      <w:lvlText w:val="第%1章"/>
      <w:lvlJc w:val="left"/>
      <w:pPr>
        <w:ind w:left="0" w:firstLine="0"/>
      </w:pPr>
      <w:rPr>
        <w:rFonts w:hint="eastAsia"/>
      </w:rPr>
    </w:lvl>
    <w:lvl w:ilvl="1" w:tentative="0">
      <w:start w:val="1"/>
      <w:numFmt w:val="lowerLetter"/>
      <w:lvlText w:val="%2)"/>
      <w:lvlJc w:val="left"/>
      <w:pPr>
        <w:tabs>
          <w:tab w:val="left" w:pos="4641"/>
        </w:tabs>
        <w:ind w:left="4641" w:hanging="420"/>
      </w:pPr>
      <w:rPr>
        <w:rFonts w:hint="eastAsia"/>
      </w:rPr>
    </w:lvl>
    <w:lvl w:ilvl="2" w:tentative="0">
      <w:start w:val="1"/>
      <w:numFmt w:val="lowerRoman"/>
      <w:lvlText w:val="%3."/>
      <w:lvlJc w:val="right"/>
      <w:pPr>
        <w:tabs>
          <w:tab w:val="left" w:pos="5061"/>
        </w:tabs>
        <w:ind w:left="5061" w:hanging="420"/>
      </w:pPr>
      <w:rPr>
        <w:rFonts w:hint="eastAsia"/>
      </w:rPr>
    </w:lvl>
    <w:lvl w:ilvl="3" w:tentative="0">
      <w:start w:val="1"/>
      <w:numFmt w:val="decimal"/>
      <w:lvlText w:val="%4."/>
      <w:lvlJc w:val="left"/>
      <w:pPr>
        <w:tabs>
          <w:tab w:val="left" w:pos="5481"/>
        </w:tabs>
        <w:ind w:left="5481" w:hanging="420"/>
      </w:pPr>
      <w:rPr>
        <w:rFonts w:hint="eastAsia"/>
      </w:rPr>
    </w:lvl>
    <w:lvl w:ilvl="4" w:tentative="0">
      <w:start w:val="1"/>
      <w:numFmt w:val="lowerLetter"/>
      <w:lvlText w:val="%5)"/>
      <w:lvlJc w:val="left"/>
      <w:pPr>
        <w:tabs>
          <w:tab w:val="left" w:pos="5901"/>
        </w:tabs>
        <w:ind w:left="5901" w:hanging="420"/>
      </w:pPr>
      <w:rPr>
        <w:rFonts w:hint="eastAsia"/>
      </w:rPr>
    </w:lvl>
    <w:lvl w:ilvl="5" w:tentative="0">
      <w:start w:val="1"/>
      <w:numFmt w:val="lowerRoman"/>
      <w:lvlText w:val="%6."/>
      <w:lvlJc w:val="right"/>
      <w:pPr>
        <w:tabs>
          <w:tab w:val="left" w:pos="6321"/>
        </w:tabs>
        <w:ind w:left="6321" w:hanging="420"/>
      </w:pPr>
      <w:rPr>
        <w:rFonts w:hint="eastAsia"/>
      </w:rPr>
    </w:lvl>
    <w:lvl w:ilvl="6" w:tentative="0">
      <w:start w:val="1"/>
      <w:numFmt w:val="decimal"/>
      <w:lvlText w:val="%7."/>
      <w:lvlJc w:val="left"/>
      <w:pPr>
        <w:tabs>
          <w:tab w:val="left" w:pos="6741"/>
        </w:tabs>
        <w:ind w:left="6741" w:hanging="420"/>
      </w:pPr>
      <w:rPr>
        <w:rFonts w:hint="eastAsia"/>
      </w:rPr>
    </w:lvl>
    <w:lvl w:ilvl="7" w:tentative="0">
      <w:start w:val="1"/>
      <w:numFmt w:val="lowerLetter"/>
      <w:lvlText w:val="%8)"/>
      <w:lvlJc w:val="left"/>
      <w:pPr>
        <w:tabs>
          <w:tab w:val="left" w:pos="7161"/>
        </w:tabs>
        <w:ind w:left="7161" w:hanging="420"/>
      </w:pPr>
      <w:rPr>
        <w:rFonts w:hint="eastAsia"/>
      </w:rPr>
    </w:lvl>
    <w:lvl w:ilvl="8" w:tentative="0">
      <w:start w:val="1"/>
      <w:numFmt w:val="lowerRoman"/>
      <w:lvlText w:val="%9."/>
      <w:lvlJc w:val="right"/>
      <w:pPr>
        <w:tabs>
          <w:tab w:val="left" w:pos="7581"/>
        </w:tabs>
        <w:ind w:left="7581" w:hanging="420"/>
      </w:pPr>
      <w:rPr>
        <w:rFonts w:hint="eastAsia"/>
      </w:rPr>
    </w:lvl>
  </w:abstractNum>
  <w:abstractNum w:abstractNumId="11">
    <w:nsid w:val="35C43A4A"/>
    <w:multiLevelType w:val="singleLevel"/>
    <w:tmpl w:val="35C43A4A"/>
    <w:lvl w:ilvl="0" w:tentative="0">
      <w:start w:val="1"/>
      <w:numFmt w:val="decimal"/>
      <w:suff w:val="space"/>
      <w:lvlText w:val="%1."/>
      <w:lvlJc w:val="left"/>
    </w:lvl>
  </w:abstractNum>
  <w:abstractNum w:abstractNumId="12">
    <w:nsid w:val="4D4DC07F"/>
    <w:multiLevelType w:val="multilevel"/>
    <w:tmpl w:val="4D4DC07F"/>
    <w:lvl w:ilvl="0" w:tentative="0">
      <w:start w:val="5"/>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59ADCABA"/>
    <w:multiLevelType w:val="multilevel"/>
    <w:tmpl w:val="59ADCABA"/>
    <w:lvl w:ilvl="0" w:tentative="0">
      <w:start w:val="1"/>
      <w:numFmt w:val="decimal"/>
      <w:pStyle w:val="292"/>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5">
    <w:nsid w:val="70430C12"/>
    <w:multiLevelType w:val="singleLevel"/>
    <w:tmpl w:val="70430C12"/>
    <w:lvl w:ilvl="0" w:tentative="0">
      <w:start w:val="5"/>
      <w:numFmt w:val="chineseCounting"/>
      <w:suff w:val="nothing"/>
      <w:lvlText w:val="%1、"/>
      <w:lvlJc w:val="left"/>
      <w:rPr>
        <w:rFonts w:hint="eastAsia"/>
      </w:rPr>
    </w:lvl>
  </w:abstractNum>
  <w:num w:numId="1">
    <w:abstractNumId w:val="6"/>
  </w:num>
  <w:num w:numId="2">
    <w:abstractNumId w:val="5"/>
  </w:num>
  <w:num w:numId="3">
    <w:abstractNumId w:val="13"/>
  </w:num>
  <w:num w:numId="4">
    <w:abstractNumId w:val="3"/>
  </w:num>
  <w:num w:numId="5">
    <w:abstractNumId w:val="2"/>
  </w:num>
  <w:num w:numId="6">
    <w:abstractNumId w:val="8"/>
  </w:num>
  <w:num w:numId="7">
    <w:abstractNumId w:val="9"/>
  </w:num>
  <w:num w:numId="8">
    <w:abstractNumId w:val="7"/>
  </w:num>
  <w:num w:numId="9">
    <w:abstractNumId w:val="0"/>
  </w:num>
  <w:num w:numId="10">
    <w:abstractNumId w:val="10"/>
  </w:num>
  <w:num w:numId="11">
    <w:abstractNumId w:val="14"/>
  </w:num>
  <w:num w:numId="12">
    <w:abstractNumId w:val="4"/>
  </w:num>
  <w:num w:numId="13">
    <w:abstractNumId w:val="1"/>
  </w:num>
  <w:num w:numId="14">
    <w:abstractNumId w:val="12"/>
  </w:num>
  <w:num w:numId="15">
    <w:abstractNumId w:val="15"/>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9733F"/>
    <w:rsid w:val="03C203BB"/>
    <w:rsid w:val="05CE29CC"/>
    <w:rsid w:val="06570D1B"/>
    <w:rsid w:val="065909ED"/>
    <w:rsid w:val="0B0324FB"/>
    <w:rsid w:val="0B6D06B4"/>
    <w:rsid w:val="0EE22FD3"/>
    <w:rsid w:val="144B0EEA"/>
    <w:rsid w:val="17C03CCB"/>
    <w:rsid w:val="1A1F5C9D"/>
    <w:rsid w:val="1D0E6F59"/>
    <w:rsid w:val="1DD27E44"/>
    <w:rsid w:val="22095C9D"/>
    <w:rsid w:val="293B5C88"/>
    <w:rsid w:val="30285DC6"/>
    <w:rsid w:val="39873EC3"/>
    <w:rsid w:val="39FF49C4"/>
    <w:rsid w:val="3F89361E"/>
    <w:rsid w:val="41165031"/>
    <w:rsid w:val="42D71A17"/>
    <w:rsid w:val="48764581"/>
    <w:rsid w:val="48F36E7F"/>
    <w:rsid w:val="49E8450A"/>
    <w:rsid w:val="4BF22682"/>
    <w:rsid w:val="4D5247AC"/>
    <w:rsid w:val="5043593A"/>
    <w:rsid w:val="50D1181A"/>
    <w:rsid w:val="541D2D53"/>
    <w:rsid w:val="549D52ED"/>
    <w:rsid w:val="56B714EC"/>
    <w:rsid w:val="5F1020E1"/>
    <w:rsid w:val="631D4DCC"/>
    <w:rsid w:val="6B02289C"/>
    <w:rsid w:val="6DCF3167"/>
    <w:rsid w:val="6E0144F7"/>
    <w:rsid w:val="6F22246B"/>
    <w:rsid w:val="709A5CAE"/>
    <w:rsid w:val="7324053A"/>
    <w:rsid w:val="7375655F"/>
    <w:rsid w:val="786F67D2"/>
    <w:rsid w:val="796312E5"/>
    <w:rsid w:val="7DD63116"/>
    <w:rsid w:val="7E292420"/>
    <w:rsid w:val="7F7A25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5"/>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5"/>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6"/>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7"/>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8"/>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3"/>
    <w:unhideWhenUsed/>
    <w:qFormat/>
    <w:uiPriority w:val="9"/>
    <w:pPr>
      <w:keepNext/>
      <w:keepLines/>
      <w:spacing w:before="320" w:after="200"/>
      <w:outlineLvl w:val="8"/>
    </w:pPr>
    <w:rPr>
      <w:rFonts w:ascii="Arial" w:hAnsi="Arial" w:eastAsia="Arial" w:cs="Arial"/>
      <w:i/>
      <w:iCs/>
      <w:sz w:val="21"/>
      <w:szCs w:val="21"/>
    </w:rPr>
  </w:style>
  <w:style w:type="character" w:default="1" w:styleId="31">
    <w:name w:val="Default Paragraph Font"/>
    <w:semiHidden/>
    <w:unhideWhenUsed/>
    <w:qFormat/>
    <w:uiPriority w:val="1"/>
  </w:style>
  <w:style w:type="table" w:default="1" w:styleId="29">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semiHidden/>
    <w:qFormat/>
    <w:uiPriority w:val="0"/>
    <w:rPr>
      <w:rFonts w:ascii="宋体" w:hAnsi="宋体" w:eastAsia="宋体" w:cs="宋体"/>
      <w:sz w:val="24"/>
      <w:szCs w:val="24"/>
      <w:lang w:val="en-US" w:eastAsia="en-US" w:bidi="ar-SA"/>
    </w:rPr>
  </w:style>
  <w:style w:type="paragraph" w:styleId="14">
    <w:name w:val="toc 5"/>
    <w:basedOn w:val="1"/>
    <w:next w:val="1"/>
    <w:unhideWhenUsed/>
    <w:qFormat/>
    <w:uiPriority w:val="39"/>
    <w:pPr>
      <w:spacing w:after="57"/>
      <w:ind w:left="1134" w:right="0" w:firstLine="0"/>
    </w:pPr>
  </w:style>
  <w:style w:type="paragraph" w:styleId="15">
    <w:name w:val="toc 3"/>
    <w:basedOn w:val="1"/>
    <w:next w:val="1"/>
    <w:unhideWhenUsed/>
    <w:qFormat/>
    <w:uiPriority w:val="39"/>
    <w:pPr>
      <w:spacing w:after="57"/>
      <w:ind w:left="567" w:right="0" w:firstLine="0"/>
    </w:pPr>
  </w:style>
  <w:style w:type="paragraph" w:styleId="16">
    <w:name w:val="toc 8"/>
    <w:basedOn w:val="1"/>
    <w:next w:val="1"/>
    <w:unhideWhenUsed/>
    <w:qFormat/>
    <w:uiPriority w:val="39"/>
    <w:pPr>
      <w:spacing w:after="57"/>
      <w:ind w:left="1984" w:right="0" w:firstLine="0"/>
    </w:pPr>
  </w:style>
  <w:style w:type="paragraph" w:styleId="17">
    <w:name w:val="endnote text"/>
    <w:basedOn w:val="1"/>
    <w:link w:val="181"/>
    <w:semiHidden/>
    <w:unhideWhenUsed/>
    <w:qFormat/>
    <w:uiPriority w:val="99"/>
    <w:pPr>
      <w:spacing w:after="0" w:line="240" w:lineRule="auto"/>
    </w:pPr>
    <w:rPr>
      <w:sz w:val="20"/>
    </w:rPr>
  </w:style>
  <w:style w:type="paragraph" w:styleId="18">
    <w:name w:val="footer"/>
    <w:basedOn w:val="1"/>
    <w:link w:val="54"/>
    <w:unhideWhenUsed/>
    <w:qFormat/>
    <w:uiPriority w:val="99"/>
    <w:pPr>
      <w:tabs>
        <w:tab w:val="center" w:pos="7143"/>
        <w:tab w:val="right" w:pos="14287"/>
      </w:tabs>
      <w:spacing w:after="0" w:line="240" w:lineRule="auto"/>
    </w:pPr>
  </w:style>
  <w:style w:type="paragraph" w:styleId="19">
    <w:name w:val="header"/>
    <w:basedOn w:val="1"/>
    <w:link w:val="52"/>
    <w:unhideWhenUsed/>
    <w:qFormat/>
    <w:uiPriority w:val="99"/>
    <w:pPr>
      <w:tabs>
        <w:tab w:val="center" w:pos="7143"/>
        <w:tab w:val="right" w:pos="14287"/>
      </w:tabs>
      <w:spacing w:after="0" w:line="240" w:lineRule="auto"/>
    </w:pPr>
  </w:style>
  <w:style w:type="paragraph" w:styleId="20">
    <w:name w:val="toc 1"/>
    <w:basedOn w:val="1"/>
    <w:next w:val="1"/>
    <w:unhideWhenUsed/>
    <w:qFormat/>
    <w:uiPriority w:val="39"/>
    <w:pPr>
      <w:spacing w:after="57"/>
      <w:ind w:left="0" w:right="0" w:firstLine="0"/>
    </w:pPr>
  </w:style>
  <w:style w:type="paragraph" w:styleId="21">
    <w:name w:val="toc 4"/>
    <w:basedOn w:val="1"/>
    <w:next w:val="1"/>
    <w:unhideWhenUsed/>
    <w:qFormat/>
    <w:uiPriority w:val="39"/>
    <w:pPr>
      <w:spacing w:after="57"/>
      <w:ind w:left="850" w:right="0" w:firstLine="0"/>
    </w:pPr>
  </w:style>
  <w:style w:type="paragraph" w:styleId="22">
    <w:name w:val="Subtitle"/>
    <w:basedOn w:val="1"/>
    <w:next w:val="1"/>
    <w:link w:val="47"/>
    <w:qFormat/>
    <w:uiPriority w:val="11"/>
    <w:pPr>
      <w:spacing w:before="200" w:after="200"/>
    </w:pPr>
    <w:rPr>
      <w:sz w:val="24"/>
      <w:szCs w:val="24"/>
    </w:rPr>
  </w:style>
  <w:style w:type="paragraph" w:styleId="23">
    <w:name w:val="footnote text"/>
    <w:basedOn w:val="1"/>
    <w:link w:val="180"/>
    <w:semiHidden/>
    <w:unhideWhenUsed/>
    <w:qFormat/>
    <w:uiPriority w:val="99"/>
    <w:pPr>
      <w:spacing w:after="40" w:line="240" w:lineRule="auto"/>
    </w:pPr>
    <w:rPr>
      <w:sz w:val="18"/>
    </w:rPr>
  </w:style>
  <w:style w:type="paragraph" w:styleId="24">
    <w:name w:val="toc 6"/>
    <w:basedOn w:val="1"/>
    <w:next w:val="1"/>
    <w:unhideWhenUsed/>
    <w:qFormat/>
    <w:uiPriority w:val="39"/>
    <w:pPr>
      <w:spacing w:after="57"/>
      <w:ind w:left="1417" w:right="0" w:firstLine="0"/>
    </w:pPr>
  </w:style>
  <w:style w:type="paragraph" w:styleId="25">
    <w:name w:val="table of figures"/>
    <w:basedOn w:val="1"/>
    <w:next w:val="1"/>
    <w:unhideWhenUsed/>
    <w:qFormat/>
    <w:uiPriority w:val="99"/>
    <w:pPr>
      <w:spacing w:after="0" w:afterAutospacing="0"/>
    </w:pPr>
  </w:style>
  <w:style w:type="paragraph" w:styleId="26">
    <w:name w:val="toc 2"/>
    <w:basedOn w:val="1"/>
    <w:next w:val="1"/>
    <w:unhideWhenUsed/>
    <w:qFormat/>
    <w:uiPriority w:val="39"/>
    <w:pPr>
      <w:spacing w:after="57"/>
      <w:ind w:left="283" w:right="0" w:firstLine="0"/>
    </w:pPr>
  </w:style>
  <w:style w:type="paragraph" w:styleId="27">
    <w:name w:val="toc 9"/>
    <w:basedOn w:val="1"/>
    <w:next w:val="1"/>
    <w:unhideWhenUsed/>
    <w:qFormat/>
    <w:uiPriority w:val="39"/>
    <w:pPr>
      <w:spacing w:after="57"/>
      <w:ind w:left="2268" w:right="0" w:firstLine="0"/>
    </w:pPr>
  </w:style>
  <w:style w:type="paragraph" w:styleId="28">
    <w:name w:val="Title"/>
    <w:basedOn w:val="1"/>
    <w:next w:val="1"/>
    <w:link w:val="46"/>
    <w:qFormat/>
    <w:uiPriority w:val="10"/>
    <w:pPr>
      <w:spacing w:before="300" w:after="200"/>
      <w:contextualSpacing/>
    </w:pPr>
    <w:rPr>
      <w:sz w:val="48"/>
      <w:szCs w:val="48"/>
    </w:rPr>
  </w:style>
  <w:style w:type="table" w:styleId="3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2">
    <w:name w:val="endnote reference"/>
    <w:semiHidden/>
    <w:unhideWhenUsed/>
    <w:qFormat/>
    <w:uiPriority w:val="99"/>
    <w:rPr>
      <w:vertAlign w:val="superscript"/>
    </w:rPr>
  </w:style>
  <w:style w:type="character" w:styleId="33">
    <w:name w:val="Hyperlink"/>
    <w:unhideWhenUsed/>
    <w:qFormat/>
    <w:uiPriority w:val="99"/>
    <w:rPr>
      <w:color w:val="0000FF" w:themeColor="hyperlink"/>
      <w:u w:val="single"/>
      <w14:textFill>
        <w14:solidFill>
          <w14:schemeClr w14:val="hlink"/>
        </w14:solidFill>
      </w14:textFill>
    </w:rPr>
  </w:style>
  <w:style w:type="character" w:styleId="34">
    <w:name w:val="footnote reference"/>
    <w:unhideWhenUsed/>
    <w:qFormat/>
    <w:uiPriority w:val="99"/>
    <w:rPr>
      <w:vertAlign w:val="superscript"/>
    </w:rPr>
  </w:style>
  <w:style w:type="character" w:customStyle="1" w:styleId="35">
    <w:name w:val="Heading 1 Char"/>
    <w:link w:val="2"/>
    <w:qFormat/>
    <w:uiPriority w:val="9"/>
    <w:rPr>
      <w:rFonts w:ascii="Arial" w:hAnsi="Arial" w:eastAsia="Arial" w:cs="Arial"/>
      <w:sz w:val="40"/>
      <w:szCs w:val="40"/>
    </w:rPr>
  </w:style>
  <w:style w:type="character" w:customStyle="1" w:styleId="36">
    <w:name w:val="Heading 2 Char"/>
    <w:link w:val="3"/>
    <w:qFormat/>
    <w:uiPriority w:val="9"/>
    <w:rPr>
      <w:rFonts w:ascii="Arial" w:hAnsi="Arial" w:eastAsia="Arial" w:cs="Arial"/>
      <w:sz w:val="34"/>
    </w:rPr>
  </w:style>
  <w:style w:type="character" w:customStyle="1" w:styleId="37">
    <w:name w:val="Heading 3 Char"/>
    <w:link w:val="4"/>
    <w:qFormat/>
    <w:uiPriority w:val="9"/>
    <w:rPr>
      <w:rFonts w:ascii="Arial" w:hAnsi="Arial" w:eastAsia="Arial" w:cs="Arial"/>
      <w:sz w:val="30"/>
      <w:szCs w:val="30"/>
    </w:rPr>
  </w:style>
  <w:style w:type="character" w:customStyle="1" w:styleId="38">
    <w:name w:val="Heading 4 Char"/>
    <w:link w:val="5"/>
    <w:qFormat/>
    <w:uiPriority w:val="9"/>
    <w:rPr>
      <w:rFonts w:ascii="Arial" w:hAnsi="Arial" w:eastAsia="Arial" w:cs="Arial"/>
      <w:b/>
      <w:bCs/>
      <w:sz w:val="26"/>
      <w:szCs w:val="26"/>
    </w:rPr>
  </w:style>
  <w:style w:type="character" w:customStyle="1" w:styleId="39">
    <w:name w:val="Heading 5 Char"/>
    <w:link w:val="6"/>
    <w:qFormat/>
    <w:uiPriority w:val="9"/>
    <w:rPr>
      <w:rFonts w:ascii="Arial" w:hAnsi="Arial" w:eastAsia="Arial" w:cs="Arial"/>
      <w:b/>
      <w:bCs/>
      <w:sz w:val="24"/>
      <w:szCs w:val="24"/>
    </w:rPr>
  </w:style>
  <w:style w:type="character" w:customStyle="1" w:styleId="40">
    <w:name w:val="Heading 6 Char"/>
    <w:link w:val="7"/>
    <w:qFormat/>
    <w:uiPriority w:val="9"/>
    <w:rPr>
      <w:rFonts w:ascii="Arial" w:hAnsi="Arial" w:eastAsia="Arial" w:cs="Arial"/>
      <w:b/>
      <w:bCs/>
      <w:sz w:val="22"/>
      <w:szCs w:val="22"/>
    </w:rPr>
  </w:style>
  <w:style w:type="character" w:customStyle="1" w:styleId="41">
    <w:name w:val="Heading 7 Char"/>
    <w:link w:val="8"/>
    <w:qFormat/>
    <w:uiPriority w:val="9"/>
    <w:rPr>
      <w:rFonts w:ascii="Arial" w:hAnsi="Arial" w:eastAsia="Arial" w:cs="Arial"/>
      <w:b/>
      <w:bCs/>
      <w:i/>
      <w:iCs/>
      <w:sz w:val="22"/>
      <w:szCs w:val="22"/>
    </w:rPr>
  </w:style>
  <w:style w:type="character" w:customStyle="1" w:styleId="42">
    <w:name w:val="Heading 8 Char"/>
    <w:link w:val="9"/>
    <w:qFormat/>
    <w:uiPriority w:val="9"/>
    <w:rPr>
      <w:rFonts w:ascii="Arial" w:hAnsi="Arial" w:eastAsia="Arial" w:cs="Arial"/>
      <w:i/>
      <w:iCs/>
      <w:sz w:val="22"/>
      <w:szCs w:val="22"/>
    </w:rPr>
  </w:style>
  <w:style w:type="character" w:customStyle="1" w:styleId="43">
    <w:name w:val="Heading 9 Char"/>
    <w:link w:val="10"/>
    <w:qFormat/>
    <w:uiPriority w:val="9"/>
    <w:rPr>
      <w:rFonts w:ascii="Arial" w:hAnsi="Arial" w:eastAsia="Arial" w:cs="Arial"/>
      <w:i/>
      <w:iCs/>
      <w:sz w:val="21"/>
      <w:szCs w:val="21"/>
    </w:rPr>
  </w:style>
  <w:style w:type="paragraph" w:styleId="44">
    <w:name w:val="List Paragraph"/>
    <w:basedOn w:val="1"/>
    <w:qFormat/>
    <w:uiPriority w:val="34"/>
    <w:pPr>
      <w:ind w:left="720"/>
      <w:contextualSpacing/>
    </w:pPr>
  </w:style>
  <w:style w:type="paragraph" w:styleId="45">
    <w:name w:val="No Spacing"/>
    <w:qFormat/>
    <w:uiPriority w:val="1"/>
    <w:pPr>
      <w:spacing w:before="0" w:after="0" w:line="240" w:lineRule="auto"/>
    </w:pPr>
    <w:rPr>
      <w:rFonts w:hint="default" w:ascii="Times New Roman" w:hAnsi="Times New Roman" w:eastAsia="宋体" w:cs="Times New Roman"/>
    </w:rPr>
  </w:style>
  <w:style w:type="character" w:customStyle="1" w:styleId="46">
    <w:name w:val="Title Char"/>
    <w:link w:val="28"/>
    <w:qFormat/>
    <w:uiPriority w:val="10"/>
    <w:rPr>
      <w:sz w:val="48"/>
      <w:szCs w:val="48"/>
    </w:rPr>
  </w:style>
  <w:style w:type="character" w:customStyle="1" w:styleId="47">
    <w:name w:val="Subtitle Char"/>
    <w:link w:val="22"/>
    <w:qFormat/>
    <w:uiPriority w:val="11"/>
    <w:rPr>
      <w:sz w:val="24"/>
      <w:szCs w:val="24"/>
    </w:rPr>
  </w:style>
  <w:style w:type="paragraph" w:styleId="48">
    <w:name w:val="Quote"/>
    <w:basedOn w:val="1"/>
    <w:next w:val="1"/>
    <w:link w:val="49"/>
    <w:qFormat/>
    <w:uiPriority w:val="29"/>
    <w:pPr>
      <w:ind w:left="720" w:right="720"/>
    </w:pPr>
    <w:rPr>
      <w:i/>
    </w:rPr>
  </w:style>
  <w:style w:type="character" w:customStyle="1" w:styleId="49">
    <w:name w:val="Quote Char"/>
    <w:link w:val="48"/>
    <w:qFormat/>
    <w:uiPriority w:val="29"/>
    <w:rPr>
      <w:i/>
    </w:rPr>
  </w:style>
  <w:style w:type="paragraph" w:styleId="50">
    <w:name w:val="Intense Quote"/>
    <w:basedOn w:val="1"/>
    <w:next w:val="1"/>
    <w:link w:val="5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qFormat/>
    <w:uiPriority w:val="30"/>
    <w:rPr>
      <w:i/>
    </w:rPr>
  </w:style>
  <w:style w:type="character" w:customStyle="1" w:styleId="52">
    <w:name w:val="Header Char"/>
    <w:link w:val="19"/>
    <w:qFormat/>
    <w:uiPriority w:val="99"/>
  </w:style>
  <w:style w:type="character" w:customStyle="1" w:styleId="53">
    <w:name w:val="Footer Char"/>
    <w:link w:val="18"/>
    <w:qFormat/>
    <w:uiPriority w:val="99"/>
  </w:style>
  <w:style w:type="character" w:customStyle="1" w:styleId="54">
    <w:name w:val="Caption Char"/>
    <w:link w:val="18"/>
    <w:qFormat/>
    <w:uiPriority w:val="99"/>
  </w:style>
  <w:style w:type="table" w:customStyle="1" w:styleId="55">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6">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7">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8">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2">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3">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4">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5">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6">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7">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8">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0">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1">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2">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3">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4">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5">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4">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1">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2">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3">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4">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5">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6">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7">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8">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9">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0">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1">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2">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3">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0">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1">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2">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3">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4">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5">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6">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7">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8">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9">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0">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1">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2">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3">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4">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5">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6">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7">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8">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9">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0">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3">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4">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5">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6">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7">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8">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9">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0">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1">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2">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3">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4">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5">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6">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7">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9">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1">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2">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3">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7 Colorful - Accent 2"/>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7 Colorful - Accent 5"/>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ned - Accen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0">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1">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2">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3">
    <w:name w:val="Lined - Accent 4"/>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4">
    <w:name w:val="Lined - Accent 5"/>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5">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6">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4">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5">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6">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7">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8">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9">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0">
    <w:name w:val="Footnote Text Char"/>
    <w:link w:val="23"/>
    <w:qFormat/>
    <w:uiPriority w:val="99"/>
    <w:rPr>
      <w:sz w:val="18"/>
    </w:rPr>
  </w:style>
  <w:style w:type="character" w:customStyle="1" w:styleId="181">
    <w:name w:val="Endnote Text Char"/>
    <w:link w:val="17"/>
    <w:qFormat/>
    <w:uiPriority w:val="99"/>
    <w:rPr>
      <w:sz w:val="20"/>
    </w:rPr>
  </w:style>
  <w:style w:type="paragraph" w:customStyle="1" w:styleId="182">
    <w:name w:val="TOC Heading"/>
    <w:unhideWhenUsed/>
    <w:qFormat/>
    <w:uiPriority w:val="39"/>
    <w:rPr>
      <w:rFonts w:hint="default" w:ascii="Times New Roman" w:hAnsi="Times New Roman" w:eastAsia="宋体" w:cs="Times New Roman"/>
    </w:rPr>
  </w:style>
  <w:style w:type="paragraph" w:customStyle="1" w:styleId="183">
    <w:name w:val="标题 11"/>
    <w:basedOn w:val="1"/>
    <w:next w:val="1"/>
    <w:link w:val="194"/>
    <w:qFormat/>
    <w:uiPriority w:val="0"/>
    <w:pPr>
      <w:keepNext/>
      <w:keepLines/>
      <w:spacing w:before="240" w:after="120" w:line="300" w:lineRule="auto"/>
      <w:jc w:val="center"/>
      <w:outlineLvl w:val="0"/>
    </w:pPr>
    <w:rPr>
      <w:rFonts w:ascii="宋体"/>
      <w:b/>
      <w:sz w:val="32"/>
      <w:szCs w:val="20"/>
    </w:rPr>
  </w:style>
  <w:style w:type="paragraph" w:customStyle="1" w:styleId="184">
    <w:name w:val="标题 211"/>
    <w:basedOn w:val="1"/>
    <w:next w:val="1"/>
    <w:link w:val="195"/>
    <w:qFormat/>
    <w:uiPriority w:val="0"/>
    <w:pPr>
      <w:keepNext/>
      <w:keepLines/>
      <w:spacing w:before="120" w:line="300" w:lineRule="auto"/>
      <w:jc w:val="center"/>
      <w:outlineLvl w:val="1"/>
    </w:pPr>
    <w:rPr>
      <w:rFonts w:ascii="Arial" w:hAnsi="Arial" w:eastAsia="黑体"/>
      <w:b/>
      <w:sz w:val="30"/>
      <w:szCs w:val="20"/>
    </w:rPr>
  </w:style>
  <w:style w:type="paragraph" w:customStyle="1" w:styleId="185">
    <w:name w:val="标题 31"/>
    <w:basedOn w:val="1"/>
    <w:next w:val="1"/>
    <w:link w:val="196"/>
    <w:qFormat/>
    <w:uiPriority w:val="0"/>
    <w:pPr>
      <w:keepNext/>
      <w:keepLines/>
      <w:spacing w:before="360" w:after="120"/>
      <w:jc w:val="left"/>
      <w:outlineLvl w:val="2"/>
    </w:pPr>
    <w:rPr>
      <w:rFonts w:ascii="宋体"/>
      <w:b/>
      <w:sz w:val="24"/>
      <w:szCs w:val="20"/>
      <w:u w:val="single"/>
    </w:rPr>
  </w:style>
  <w:style w:type="paragraph" w:customStyle="1" w:styleId="186">
    <w:name w:val="标题 41"/>
    <w:basedOn w:val="1"/>
    <w:next w:val="1"/>
    <w:link w:val="197"/>
    <w:qFormat/>
    <w:uiPriority w:val="0"/>
    <w:pPr>
      <w:keepNext/>
      <w:keepLines/>
      <w:spacing w:before="280" w:after="290" w:line="376" w:lineRule="atLeast"/>
      <w:outlineLvl w:val="3"/>
    </w:pPr>
    <w:rPr>
      <w:rFonts w:ascii="Arial" w:hAnsi="Arial" w:eastAsia="黑体"/>
      <w:b/>
      <w:sz w:val="28"/>
      <w:szCs w:val="20"/>
    </w:rPr>
  </w:style>
  <w:style w:type="paragraph" w:customStyle="1" w:styleId="187">
    <w:name w:val="标题 51"/>
    <w:basedOn w:val="1"/>
    <w:next w:val="1"/>
    <w:link w:val="198"/>
    <w:qFormat/>
    <w:uiPriority w:val="0"/>
    <w:pPr>
      <w:keepNext/>
      <w:keepLines/>
      <w:spacing w:before="280" w:after="290" w:line="376" w:lineRule="atLeast"/>
      <w:outlineLvl w:val="4"/>
    </w:pPr>
    <w:rPr>
      <w:b/>
      <w:sz w:val="28"/>
      <w:szCs w:val="20"/>
    </w:rPr>
  </w:style>
  <w:style w:type="paragraph" w:customStyle="1" w:styleId="188">
    <w:name w:val="标题 61"/>
    <w:basedOn w:val="1"/>
    <w:next w:val="1"/>
    <w:link w:val="199"/>
    <w:qFormat/>
    <w:uiPriority w:val="0"/>
    <w:pPr>
      <w:keepNext/>
      <w:keepLines/>
      <w:spacing w:before="240" w:after="64" w:line="320" w:lineRule="atLeast"/>
      <w:outlineLvl w:val="5"/>
    </w:pPr>
    <w:rPr>
      <w:rFonts w:ascii="Arial" w:hAnsi="Arial" w:eastAsia="黑体"/>
      <w:b/>
      <w:sz w:val="24"/>
      <w:szCs w:val="20"/>
    </w:rPr>
  </w:style>
  <w:style w:type="paragraph" w:customStyle="1" w:styleId="189">
    <w:name w:val="标题 71"/>
    <w:basedOn w:val="1"/>
    <w:next w:val="1"/>
    <w:link w:val="200"/>
    <w:qFormat/>
    <w:uiPriority w:val="0"/>
    <w:pPr>
      <w:keepNext/>
      <w:keepLines/>
      <w:spacing w:before="240" w:after="64" w:line="320" w:lineRule="atLeast"/>
      <w:outlineLvl w:val="6"/>
    </w:pPr>
    <w:rPr>
      <w:b/>
      <w:sz w:val="24"/>
      <w:szCs w:val="20"/>
    </w:rPr>
  </w:style>
  <w:style w:type="paragraph" w:customStyle="1" w:styleId="190">
    <w:name w:val="标题 81"/>
    <w:basedOn w:val="1"/>
    <w:next w:val="1"/>
    <w:link w:val="201"/>
    <w:qFormat/>
    <w:uiPriority w:val="0"/>
    <w:pPr>
      <w:keepNext/>
      <w:keepLines/>
      <w:spacing w:before="240" w:after="64" w:line="320" w:lineRule="atLeast"/>
      <w:outlineLvl w:val="7"/>
    </w:pPr>
    <w:rPr>
      <w:rFonts w:ascii="Arial" w:hAnsi="Arial" w:eastAsia="黑体"/>
      <w:sz w:val="24"/>
      <w:szCs w:val="20"/>
    </w:rPr>
  </w:style>
  <w:style w:type="paragraph" w:customStyle="1" w:styleId="191">
    <w:name w:val="标题 91"/>
    <w:basedOn w:val="1"/>
    <w:next w:val="1"/>
    <w:link w:val="202"/>
    <w:qFormat/>
    <w:uiPriority w:val="0"/>
    <w:pPr>
      <w:keepNext/>
      <w:keepLines/>
      <w:spacing w:before="240" w:after="64" w:line="320" w:lineRule="atLeast"/>
      <w:outlineLvl w:val="8"/>
    </w:pPr>
    <w:rPr>
      <w:rFonts w:ascii="Arial" w:hAnsi="Arial" w:eastAsia="黑体"/>
      <w:szCs w:val="20"/>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basedOn w:val="192"/>
    <w:link w:val="183"/>
    <w:qFormat/>
    <w:uiPriority w:val="0"/>
    <w:rPr>
      <w:rFonts w:ascii="宋体"/>
      <w:b/>
      <w:sz w:val="32"/>
    </w:rPr>
  </w:style>
  <w:style w:type="character" w:customStyle="1" w:styleId="195">
    <w:name w:val="标题 2 Char1"/>
    <w:link w:val="184"/>
    <w:qFormat/>
    <w:uiPriority w:val="0"/>
    <w:rPr>
      <w:rFonts w:ascii="Arial" w:hAnsi="Arial" w:eastAsia="黑体"/>
      <w:b/>
      <w:sz w:val="30"/>
      <w:lang w:val="en-US" w:eastAsia="zh-CN" w:bidi="ar-SA"/>
    </w:rPr>
  </w:style>
  <w:style w:type="character" w:customStyle="1" w:styleId="196">
    <w:name w:val="标题 3 Char1"/>
    <w:link w:val="185"/>
    <w:qFormat/>
    <w:uiPriority w:val="0"/>
    <w:rPr>
      <w:rFonts w:ascii="宋体" w:eastAsia="宋体"/>
      <w:b/>
      <w:sz w:val="24"/>
      <w:u w:val="single"/>
      <w:lang w:val="en-US" w:eastAsia="zh-CN" w:bidi="ar-SA"/>
    </w:rPr>
  </w:style>
  <w:style w:type="character" w:customStyle="1" w:styleId="197">
    <w:name w:val="标题 4 Char"/>
    <w:basedOn w:val="192"/>
    <w:link w:val="186"/>
    <w:qFormat/>
    <w:uiPriority w:val="0"/>
    <w:rPr>
      <w:rFonts w:ascii="Arial" w:hAnsi="Arial" w:eastAsia="黑体"/>
      <w:b/>
      <w:sz w:val="28"/>
    </w:rPr>
  </w:style>
  <w:style w:type="character" w:customStyle="1" w:styleId="198">
    <w:name w:val="标题 5 Char"/>
    <w:basedOn w:val="192"/>
    <w:link w:val="187"/>
    <w:qFormat/>
    <w:uiPriority w:val="0"/>
    <w:rPr>
      <w:b/>
      <w:sz w:val="28"/>
    </w:rPr>
  </w:style>
  <w:style w:type="character" w:customStyle="1" w:styleId="199">
    <w:name w:val="标题 6 Char"/>
    <w:basedOn w:val="192"/>
    <w:link w:val="188"/>
    <w:qFormat/>
    <w:uiPriority w:val="0"/>
    <w:rPr>
      <w:rFonts w:ascii="Arial" w:hAnsi="Arial" w:eastAsia="黑体"/>
      <w:b/>
      <w:sz w:val="24"/>
    </w:rPr>
  </w:style>
  <w:style w:type="character" w:customStyle="1" w:styleId="200">
    <w:name w:val="标题 7 Char"/>
    <w:basedOn w:val="192"/>
    <w:link w:val="189"/>
    <w:qFormat/>
    <w:uiPriority w:val="0"/>
    <w:rPr>
      <w:b/>
      <w:sz w:val="24"/>
    </w:rPr>
  </w:style>
  <w:style w:type="character" w:customStyle="1" w:styleId="201">
    <w:name w:val="标题 8 Char"/>
    <w:basedOn w:val="192"/>
    <w:link w:val="190"/>
    <w:qFormat/>
    <w:uiPriority w:val="0"/>
    <w:rPr>
      <w:rFonts w:ascii="Arial" w:hAnsi="Arial" w:eastAsia="黑体"/>
      <w:sz w:val="24"/>
    </w:rPr>
  </w:style>
  <w:style w:type="character" w:customStyle="1" w:styleId="202">
    <w:name w:val="标题 9 Char"/>
    <w:basedOn w:val="192"/>
    <w:link w:val="191"/>
    <w:qFormat/>
    <w:uiPriority w:val="0"/>
    <w:rPr>
      <w:rFonts w:ascii="Arial" w:hAnsi="Arial" w:eastAsia="黑体"/>
      <w:sz w:val="21"/>
    </w:rPr>
  </w:style>
  <w:style w:type="paragraph" w:customStyle="1" w:styleId="203">
    <w:name w:val="目录 71"/>
    <w:basedOn w:val="1"/>
    <w:next w:val="1"/>
    <w:qFormat/>
    <w:uiPriority w:val="0"/>
    <w:pPr>
      <w:ind w:left="2520"/>
    </w:pPr>
  </w:style>
  <w:style w:type="paragraph" w:customStyle="1" w:styleId="204">
    <w:name w:val="正文缩进11"/>
    <w:basedOn w:val="1"/>
    <w:next w:val="1"/>
    <w:link w:val="205"/>
    <w:qFormat/>
    <w:uiPriority w:val="0"/>
    <w:pPr>
      <w:ind w:firstLine="420"/>
      <w:jc w:val="left"/>
    </w:pPr>
    <w:rPr>
      <w:rFonts w:ascii="宋体"/>
      <w:sz w:val="24"/>
    </w:rPr>
  </w:style>
  <w:style w:type="character" w:customStyle="1" w:styleId="205">
    <w:name w:val="正文缩进 Char1"/>
    <w:link w:val="204"/>
    <w:qFormat/>
    <w:uiPriority w:val="0"/>
    <w:rPr>
      <w:rFonts w:ascii="宋体" w:eastAsia="宋体"/>
      <w:sz w:val="24"/>
      <w:szCs w:val="24"/>
      <w:lang w:val="en-US" w:eastAsia="zh-CN" w:bidi="ar-SA"/>
    </w:rPr>
  </w:style>
  <w:style w:type="paragraph" w:customStyle="1" w:styleId="206">
    <w:name w:val="题注1"/>
    <w:basedOn w:val="1"/>
    <w:next w:val="1"/>
    <w:qFormat/>
    <w:uiPriority w:val="0"/>
    <w:pPr>
      <w:spacing w:line="480" w:lineRule="auto"/>
    </w:pPr>
    <w:rPr>
      <w:rFonts w:ascii="华文中宋" w:hAnsi="华文中宋" w:eastAsia="华文中宋"/>
      <w:sz w:val="36"/>
      <w:szCs w:val="20"/>
    </w:rPr>
  </w:style>
  <w:style w:type="paragraph" w:customStyle="1" w:styleId="207">
    <w:name w:val="文档结构图1"/>
    <w:basedOn w:val="1"/>
    <w:link w:val="208"/>
    <w:qFormat/>
    <w:uiPriority w:val="0"/>
    <w:pPr>
      <w:shd w:val="clear" w:color="auto" w:fill="000080"/>
    </w:pPr>
  </w:style>
  <w:style w:type="character" w:customStyle="1" w:styleId="208">
    <w:name w:val="文档结构图 Char"/>
    <w:basedOn w:val="192"/>
    <w:link w:val="207"/>
    <w:qFormat/>
    <w:uiPriority w:val="0"/>
    <w:rPr>
      <w:sz w:val="21"/>
      <w:szCs w:val="24"/>
      <w:shd w:val="clear" w:color="auto" w:fill="000080"/>
    </w:rPr>
  </w:style>
  <w:style w:type="paragraph" w:customStyle="1" w:styleId="209">
    <w:name w:val="批注文字1"/>
    <w:basedOn w:val="1"/>
    <w:link w:val="210"/>
    <w:qFormat/>
    <w:uiPriority w:val="99"/>
    <w:pPr>
      <w:jc w:val="left"/>
    </w:pPr>
  </w:style>
  <w:style w:type="character" w:customStyle="1" w:styleId="210">
    <w:name w:val="批注文字 Char1"/>
    <w:link w:val="209"/>
    <w:qFormat/>
    <w:uiPriority w:val="99"/>
    <w:rPr>
      <w:sz w:val="21"/>
      <w:szCs w:val="24"/>
    </w:rPr>
  </w:style>
  <w:style w:type="paragraph" w:customStyle="1" w:styleId="211">
    <w:name w:val="正文文本 31"/>
    <w:basedOn w:val="1"/>
    <w:link w:val="212"/>
    <w:qFormat/>
    <w:uiPriority w:val="0"/>
    <w:pPr>
      <w:spacing w:after="120"/>
    </w:pPr>
    <w:rPr>
      <w:sz w:val="16"/>
      <w:szCs w:val="16"/>
    </w:rPr>
  </w:style>
  <w:style w:type="character" w:customStyle="1" w:styleId="212">
    <w:name w:val="正文文本 3 Char"/>
    <w:basedOn w:val="192"/>
    <w:link w:val="211"/>
    <w:qFormat/>
    <w:uiPriority w:val="0"/>
    <w:rPr>
      <w:sz w:val="16"/>
      <w:szCs w:val="16"/>
    </w:rPr>
  </w:style>
  <w:style w:type="paragraph" w:customStyle="1" w:styleId="213">
    <w:name w:val="正文文本1"/>
    <w:basedOn w:val="1"/>
    <w:next w:val="1"/>
    <w:link w:val="214"/>
    <w:qFormat/>
    <w:uiPriority w:val="0"/>
    <w:pPr>
      <w:tabs>
        <w:tab w:val="left" w:pos="567"/>
      </w:tabs>
      <w:spacing w:before="120" w:line="22" w:lineRule="atLeast"/>
    </w:pPr>
    <w:rPr>
      <w:rFonts w:ascii="宋体" w:hAnsi="宋体"/>
      <w:sz w:val="24"/>
    </w:rPr>
  </w:style>
  <w:style w:type="character" w:customStyle="1" w:styleId="214">
    <w:name w:val="正文文本 Char"/>
    <w:basedOn w:val="192"/>
    <w:link w:val="213"/>
    <w:qFormat/>
    <w:uiPriority w:val="0"/>
    <w:rPr>
      <w:rFonts w:ascii="宋体" w:hAnsi="宋体"/>
      <w:sz w:val="24"/>
      <w:szCs w:val="24"/>
    </w:rPr>
  </w:style>
  <w:style w:type="paragraph" w:customStyle="1" w:styleId="215">
    <w:name w:val="正文文本缩进11"/>
    <w:basedOn w:val="1"/>
    <w:link w:val="216"/>
    <w:qFormat/>
    <w:uiPriority w:val="0"/>
    <w:pPr>
      <w:spacing w:line="360" w:lineRule="auto"/>
      <w:ind w:firstLine="570"/>
    </w:pPr>
    <w:rPr>
      <w:sz w:val="24"/>
    </w:rPr>
  </w:style>
  <w:style w:type="character" w:customStyle="1" w:styleId="216">
    <w:name w:val="正文文本缩进 Char2"/>
    <w:link w:val="215"/>
    <w:qFormat/>
    <w:uiPriority w:val="0"/>
    <w:rPr>
      <w:rFonts w:eastAsia="宋体"/>
      <w:sz w:val="24"/>
      <w:szCs w:val="24"/>
      <w:lang w:val="en-US" w:eastAsia="zh-CN" w:bidi="ar-SA"/>
    </w:rPr>
  </w:style>
  <w:style w:type="paragraph" w:customStyle="1" w:styleId="217">
    <w:name w:val="列表 21"/>
    <w:basedOn w:val="1"/>
    <w:qFormat/>
    <w:uiPriority w:val="0"/>
    <w:pPr>
      <w:ind w:left="100" w:hanging="200"/>
    </w:pPr>
  </w:style>
  <w:style w:type="paragraph" w:customStyle="1" w:styleId="218">
    <w:name w:val="文本块1"/>
    <w:basedOn w:val="1"/>
    <w:qFormat/>
    <w:uiPriority w:val="0"/>
    <w:pPr>
      <w:widowControl/>
      <w:ind w:left="480" w:right="-341" w:firstLine="513"/>
    </w:pPr>
    <w:rPr>
      <w:sz w:val="24"/>
      <w:szCs w:val="20"/>
    </w:rPr>
  </w:style>
  <w:style w:type="paragraph" w:customStyle="1" w:styleId="219">
    <w:name w:val="目录 51"/>
    <w:basedOn w:val="1"/>
    <w:next w:val="1"/>
    <w:qFormat/>
    <w:uiPriority w:val="0"/>
    <w:pPr>
      <w:ind w:left="1680"/>
    </w:pPr>
  </w:style>
  <w:style w:type="paragraph" w:customStyle="1" w:styleId="220">
    <w:name w:val="目录 31"/>
    <w:basedOn w:val="1"/>
    <w:next w:val="1"/>
    <w:qFormat/>
    <w:uiPriority w:val="39"/>
    <w:pPr>
      <w:ind w:left="840"/>
    </w:pPr>
  </w:style>
  <w:style w:type="paragraph" w:customStyle="1" w:styleId="221">
    <w:name w:val="纯文本11"/>
    <w:basedOn w:val="1"/>
    <w:link w:val="222"/>
    <w:qFormat/>
    <w:uiPriority w:val="0"/>
    <w:rPr>
      <w:rFonts w:hint="eastAsia" w:ascii="宋体" w:hAnsi="Courier New"/>
      <w:szCs w:val="20"/>
    </w:rPr>
  </w:style>
  <w:style w:type="character" w:customStyle="1" w:styleId="222">
    <w:name w:val="纯文本 Char"/>
    <w:basedOn w:val="192"/>
    <w:link w:val="221"/>
    <w:qFormat/>
    <w:uiPriority w:val="0"/>
    <w:rPr>
      <w:rFonts w:hint="eastAsia" w:ascii="宋体" w:hAnsi="Courier New" w:eastAsia="宋体" w:cs="宋体"/>
      <w:sz w:val="21"/>
    </w:rPr>
  </w:style>
  <w:style w:type="paragraph" w:customStyle="1" w:styleId="223">
    <w:name w:val="目录 81"/>
    <w:basedOn w:val="1"/>
    <w:next w:val="1"/>
    <w:qFormat/>
    <w:uiPriority w:val="0"/>
    <w:pPr>
      <w:ind w:left="2940"/>
    </w:pPr>
  </w:style>
  <w:style w:type="paragraph" w:customStyle="1" w:styleId="224">
    <w:name w:val="日期1"/>
    <w:basedOn w:val="1"/>
    <w:next w:val="1"/>
    <w:link w:val="225"/>
    <w:qFormat/>
    <w:uiPriority w:val="0"/>
    <w:pPr>
      <w:ind w:left="100"/>
    </w:pPr>
    <w:rPr>
      <w:rFonts w:ascii="仿宋_GB2312" w:hAnsi="宋体" w:eastAsia="仿宋_GB2312"/>
      <w:color w:val="000000"/>
      <w:sz w:val="24"/>
    </w:rPr>
  </w:style>
  <w:style w:type="character" w:customStyle="1" w:styleId="225">
    <w:name w:val="日期 Char"/>
    <w:basedOn w:val="192"/>
    <w:link w:val="224"/>
    <w:qFormat/>
    <w:uiPriority w:val="0"/>
    <w:rPr>
      <w:rFonts w:ascii="仿宋_GB2312" w:hAnsi="宋体" w:eastAsia="仿宋_GB2312"/>
      <w:color w:val="000000"/>
      <w:sz w:val="24"/>
      <w:szCs w:val="24"/>
    </w:rPr>
  </w:style>
  <w:style w:type="paragraph" w:customStyle="1" w:styleId="226">
    <w:name w:val="正文文本缩进 21"/>
    <w:basedOn w:val="1"/>
    <w:link w:val="227"/>
    <w:qFormat/>
    <w:uiPriority w:val="0"/>
    <w:pPr>
      <w:ind w:firstLine="480"/>
    </w:pPr>
    <w:rPr>
      <w:rFonts w:ascii="仿宋_GB2312" w:eastAsia="仿宋_GB2312"/>
      <w:sz w:val="24"/>
    </w:rPr>
  </w:style>
  <w:style w:type="character" w:customStyle="1" w:styleId="227">
    <w:name w:val="正文文本缩进 2 Char"/>
    <w:basedOn w:val="192"/>
    <w:link w:val="226"/>
    <w:qFormat/>
    <w:uiPriority w:val="0"/>
    <w:rPr>
      <w:rFonts w:ascii="仿宋_GB2312" w:eastAsia="仿宋_GB2312"/>
      <w:sz w:val="24"/>
      <w:szCs w:val="24"/>
    </w:rPr>
  </w:style>
  <w:style w:type="paragraph" w:customStyle="1" w:styleId="228">
    <w:name w:val="批注框文本1"/>
    <w:basedOn w:val="1"/>
    <w:link w:val="229"/>
    <w:qFormat/>
    <w:uiPriority w:val="0"/>
    <w:rPr>
      <w:sz w:val="18"/>
      <w:szCs w:val="18"/>
    </w:rPr>
  </w:style>
  <w:style w:type="character" w:customStyle="1" w:styleId="229">
    <w:name w:val="批注框文本 Char"/>
    <w:basedOn w:val="192"/>
    <w:link w:val="228"/>
    <w:qFormat/>
    <w:uiPriority w:val="0"/>
    <w:rPr>
      <w:sz w:val="18"/>
      <w:szCs w:val="18"/>
    </w:rPr>
  </w:style>
  <w:style w:type="paragraph" w:customStyle="1" w:styleId="230">
    <w:name w:val="页脚1"/>
    <w:basedOn w:val="1"/>
    <w:link w:val="231"/>
    <w:qFormat/>
    <w:uiPriority w:val="99"/>
    <w:pPr>
      <w:tabs>
        <w:tab w:val="center" w:pos="4153"/>
        <w:tab w:val="right" w:pos="8306"/>
      </w:tabs>
      <w:jc w:val="left"/>
    </w:pPr>
    <w:rPr>
      <w:rFonts w:ascii="宋体"/>
      <w:sz w:val="18"/>
      <w:szCs w:val="20"/>
    </w:rPr>
  </w:style>
  <w:style w:type="character" w:customStyle="1" w:styleId="231">
    <w:name w:val="页脚 Char1"/>
    <w:link w:val="230"/>
    <w:qFormat/>
    <w:uiPriority w:val="99"/>
    <w:rPr>
      <w:rFonts w:ascii="宋体" w:eastAsia="宋体"/>
      <w:sz w:val="18"/>
      <w:lang w:val="en-US" w:eastAsia="zh-CN" w:bidi="ar-SA"/>
    </w:rPr>
  </w:style>
  <w:style w:type="paragraph" w:customStyle="1" w:styleId="232">
    <w:name w:val="页眉1"/>
    <w:basedOn w:val="1"/>
    <w:link w:val="233"/>
    <w:qFormat/>
    <w:uiPriority w:val="0"/>
    <w:pPr>
      <w:pBdr>
        <w:bottom w:val="single" w:color="000000" w:sz="6" w:space="1"/>
      </w:pBdr>
      <w:tabs>
        <w:tab w:val="center" w:pos="4153"/>
        <w:tab w:val="right" w:pos="8306"/>
      </w:tabs>
      <w:jc w:val="center"/>
    </w:pPr>
    <w:rPr>
      <w:sz w:val="18"/>
      <w:szCs w:val="18"/>
    </w:rPr>
  </w:style>
  <w:style w:type="character" w:customStyle="1" w:styleId="233">
    <w:name w:val="页眉 Char1"/>
    <w:link w:val="232"/>
    <w:qFormat/>
    <w:uiPriority w:val="0"/>
    <w:rPr>
      <w:rFonts w:eastAsia="宋体"/>
      <w:sz w:val="18"/>
      <w:szCs w:val="18"/>
      <w:lang w:val="en-US" w:eastAsia="zh-CN" w:bidi="ar-SA"/>
    </w:rPr>
  </w:style>
  <w:style w:type="paragraph" w:customStyle="1" w:styleId="234">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5">
    <w:name w:val="目录 41"/>
    <w:basedOn w:val="1"/>
    <w:next w:val="1"/>
    <w:qFormat/>
    <w:uiPriority w:val="0"/>
    <w:pPr>
      <w:ind w:left="1260"/>
    </w:pPr>
  </w:style>
  <w:style w:type="paragraph" w:customStyle="1" w:styleId="236">
    <w:name w:val="目录 61"/>
    <w:basedOn w:val="1"/>
    <w:next w:val="1"/>
    <w:qFormat/>
    <w:uiPriority w:val="0"/>
    <w:pPr>
      <w:ind w:left="2100"/>
    </w:pPr>
  </w:style>
  <w:style w:type="paragraph" w:customStyle="1" w:styleId="237">
    <w:name w:val="正文文本缩进 31"/>
    <w:basedOn w:val="1"/>
    <w:link w:val="238"/>
    <w:qFormat/>
    <w:uiPriority w:val="0"/>
    <w:pPr>
      <w:spacing w:before="120" w:line="22" w:lineRule="atLeast"/>
      <w:ind w:left="720" w:firstLine="480"/>
      <w:jc w:val="left"/>
    </w:pPr>
    <w:rPr>
      <w:rFonts w:ascii="宋体"/>
      <w:sz w:val="24"/>
      <w:szCs w:val="20"/>
    </w:rPr>
  </w:style>
  <w:style w:type="character" w:customStyle="1" w:styleId="238">
    <w:name w:val="正文文本缩进 3 Char"/>
    <w:basedOn w:val="192"/>
    <w:link w:val="237"/>
    <w:qFormat/>
    <w:uiPriority w:val="0"/>
    <w:rPr>
      <w:rFonts w:ascii="宋体"/>
      <w:sz w:val="24"/>
    </w:rPr>
  </w:style>
  <w:style w:type="paragraph" w:customStyle="1" w:styleId="239">
    <w:name w:val="目录 21"/>
    <w:basedOn w:val="1"/>
    <w:next w:val="1"/>
    <w:qFormat/>
    <w:uiPriority w:val="39"/>
    <w:pPr>
      <w:tabs>
        <w:tab w:val="right" w:leader="dot" w:pos="8937"/>
      </w:tabs>
      <w:spacing w:line="312" w:lineRule="auto"/>
      <w:ind w:left="420"/>
    </w:pPr>
  </w:style>
  <w:style w:type="paragraph" w:customStyle="1" w:styleId="240">
    <w:name w:val="目录 91"/>
    <w:basedOn w:val="1"/>
    <w:next w:val="1"/>
    <w:qFormat/>
    <w:uiPriority w:val="0"/>
    <w:pPr>
      <w:ind w:left="3360"/>
    </w:pPr>
  </w:style>
  <w:style w:type="paragraph" w:customStyle="1" w:styleId="241">
    <w:name w:val="HTML 预设格式1"/>
    <w:basedOn w:val="1"/>
    <w:link w:val="242"/>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2">
    <w:name w:val="HTML 预设格式 Char"/>
    <w:basedOn w:val="192"/>
    <w:link w:val="241"/>
    <w:qFormat/>
    <w:uiPriority w:val="0"/>
    <w:rPr>
      <w:rFonts w:ascii="宋体" w:hAnsi="宋体" w:cs="宋体"/>
      <w:sz w:val="24"/>
      <w:szCs w:val="24"/>
    </w:rPr>
  </w:style>
  <w:style w:type="paragraph" w:customStyle="1" w:styleId="243">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4">
    <w:name w:val="索引 11"/>
    <w:basedOn w:val="1"/>
    <w:next w:val="1"/>
    <w:qFormat/>
    <w:uiPriority w:val="0"/>
    <w:rPr>
      <w:szCs w:val="20"/>
    </w:rPr>
  </w:style>
  <w:style w:type="paragraph" w:customStyle="1" w:styleId="245">
    <w:name w:val="标题1"/>
    <w:basedOn w:val="1"/>
    <w:link w:val="246"/>
    <w:qFormat/>
    <w:uiPriority w:val="0"/>
    <w:pPr>
      <w:jc w:val="center"/>
      <w:outlineLvl w:val="0"/>
    </w:pPr>
    <w:rPr>
      <w:b/>
      <w:sz w:val="32"/>
      <w:szCs w:val="20"/>
    </w:rPr>
  </w:style>
  <w:style w:type="character" w:customStyle="1" w:styleId="246">
    <w:name w:val="标题 Char1"/>
    <w:link w:val="245"/>
    <w:qFormat/>
    <w:uiPriority w:val="0"/>
    <w:rPr>
      <w:b/>
      <w:sz w:val="32"/>
    </w:rPr>
  </w:style>
  <w:style w:type="paragraph" w:customStyle="1" w:styleId="247">
    <w:name w:val="批注主题1"/>
    <w:basedOn w:val="209"/>
    <w:next w:val="209"/>
    <w:link w:val="248"/>
    <w:qFormat/>
    <w:uiPriority w:val="0"/>
    <w:rPr>
      <w:b/>
      <w:bCs/>
    </w:rPr>
  </w:style>
  <w:style w:type="character" w:customStyle="1" w:styleId="248">
    <w:name w:val="批注主题 Char"/>
    <w:basedOn w:val="249"/>
    <w:link w:val="247"/>
    <w:qFormat/>
    <w:uiPriority w:val="0"/>
    <w:rPr>
      <w:rFonts w:ascii="Times New Roman" w:hAnsi="Times New Roman" w:eastAsia="宋体" w:cs="Times New Roman"/>
      <w:b/>
      <w:bCs/>
      <w:sz w:val="21"/>
      <w:szCs w:val="24"/>
      <w:lang w:val="en-US" w:eastAsia="zh-CN" w:bidi="ar-SA"/>
    </w:rPr>
  </w:style>
  <w:style w:type="character" w:customStyle="1" w:styleId="249">
    <w:name w:val="批注文字 字符"/>
    <w:link w:val="1"/>
    <w:qFormat/>
    <w:uiPriority w:val="99"/>
    <w:rPr>
      <w:rFonts w:ascii="Times New Roman" w:hAnsi="Times New Roman" w:eastAsia="宋体" w:cs="Times New Roman"/>
      <w:sz w:val="24"/>
      <w:lang w:val="en-US" w:eastAsia="zh-CN" w:bidi="ar-SA"/>
    </w:rPr>
  </w:style>
  <w:style w:type="paragraph" w:customStyle="1" w:styleId="250">
    <w:name w:val="正文首行缩进 21"/>
    <w:basedOn w:val="215"/>
    <w:link w:val="251"/>
    <w:qFormat/>
    <w:uiPriority w:val="0"/>
    <w:pPr>
      <w:spacing w:after="120" w:line="480" w:lineRule="exact"/>
      <w:ind w:left="420" w:firstLine="420"/>
    </w:pPr>
    <w:rPr>
      <w:szCs w:val="20"/>
    </w:rPr>
  </w:style>
  <w:style w:type="character" w:customStyle="1" w:styleId="251">
    <w:name w:val="正文首行缩进 2 Char"/>
    <w:basedOn w:val="216"/>
    <w:link w:val="250"/>
    <w:qFormat/>
    <w:uiPriority w:val="0"/>
    <w:rPr>
      <w:rFonts w:eastAsia="宋体"/>
      <w:sz w:val="24"/>
      <w:szCs w:val="24"/>
      <w:lang w:val="en-US" w:eastAsia="zh-CN" w:bidi="ar-SA"/>
    </w:rPr>
  </w:style>
  <w:style w:type="table" w:customStyle="1" w:styleId="252">
    <w:name w:val="网格型1"/>
    <w:basedOn w:val="193"/>
    <w:qFormat/>
    <w:uiPriority w:val="39"/>
  </w:style>
  <w:style w:type="table" w:customStyle="1" w:styleId="253">
    <w:name w:val="中等深浅网格 1 - 强调文字颜色 21"/>
    <w:basedOn w:val="193"/>
    <w:qFormat/>
    <w:uiPriority w:val="0"/>
    <w:rPr>
      <w:sz w:val="21"/>
      <w:szCs w:val="24"/>
    </w:rPr>
  </w:style>
  <w:style w:type="character" w:customStyle="1" w:styleId="254">
    <w:name w:val="要点1"/>
    <w:link w:val="1"/>
    <w:qFormat/>
    <w:uiPriority w:val="0"/>
    <w:rPr>
      <w:b/>
      <w:bCs/>
    </w:rPr>
  </w:style>
  <w:style w:type="character" w:customStyle="1" w:styleId="255">
    <w:name w:val="页码1"/>
    <w:basedOn w:val="192"/>
    <w:link w:val="1"/>
    <w:qFormat/>
    <w:uiPriority w:val="0"/>
  </w:style>
  <w:style w:type="character" w:customStyle="1" w:styleId="256">
    <w:name w:val="已访问的超链接1"/>
    <w:link w:val="1"/>
    <w:qFormat/>
    <w:uiPriority w:val="0"/>
    <w:rPr>
      <w:color w:val="800080"/>
      <w:u w:val="single"/>
    </w:rPr>
  </w:style>
  <w:style w:type="character" w:customStyle="1" w:styleId="257">
    <w:name w:val="强调1"/>
    <w:link w:val="1"/>
    <w:qFormat/>
    <w:uiPriority w:val="0"/>
    <w:rPr>
      <w:color w:val="CC0033"/>
    </w:rPr>
  </w:style>
  <w:style w:type="character" w:customStyle="1" w:styleId="258">
    <w:name w:val="超链接1"/>
    <w:link w:val="1"/>
    <w:qFormat/>
    <w:uiPriority w:val="99"/>
    <w:rPr>
      <w:color w:val="0000FF"/>
      <w:u w:val="single"/>
    </w:rPr>
  </w:style>
  <w:style w:type="character" w:customStyle="1" w:styleId="259">
    <w:name w:val="批注引用1"/>
    <w:link w:val="1"/>
    <w:qFormat/>
    <w:uiPriority w:val="99"/>
    <w:rPr>
      <w:sz w:val="21"/>
      <w:szCs w:val="21"/>
    </w:rPr>
  </w:style>
  <w:style w:type="character" w:customStyle="1" w:styleId="260">
    <w:name w:val="HTML 引文1"/>
    <w:link w:val="1"/>
    <w:qFormat/>
    <w:uiPriority w:val="0"/>
    <w:rPr>
      <w:i/>
      <w:iCs/>
    </w:rPr>
  </w:style>
  <w:style w:type="paragraph" w:customStyle="1" w:styleId="261">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262">
    <w:name w:val="标题 21"/>
    <w:basedOn w:val="1"/>
    <w:next w:val="1"/>
    <w:qFormat/>
    <w:uiPriority w:val="0"/>
    <w:pPr>
      <w:keepNext/>
      <w:keepLines/>
      <w:spacing w:before="120" w:line="300" w:lineRule="auto"/>
      <w:jc w:val="center"/>
      <w:outlineLvl w:val="1"/>
    </w:pPr>
    <w:rPr>
      <w:rFonts w:ascii="Arial" w:hAnsi="Arial" w:eastAsia="黑体"/>
      <w:b/>
      <w:sz w:val="30"/>
      <w:szCs w:val="20"/>
    </w:rPr>
  </w:style>
  <w:style w:type="character" w:customStyle="1" w:styleId="263">
    <w:name w:val="c21"/>
    <w:link w:val="1"/>
    <w:qFormat/>
    <w:uiPriority w:val="0"/>
    <w:rPr>
      <w:rFonts w:ascii="ˎ̥" w:hAnsi="ˎ̥"/>
      <w:color w:val="000000"/>
      <w:sz w:val="20"/>
      <w:szCs w:val="20"/>
      <w:u w:val="none"/>
    </w:rPr>
  </w:style>
  <w:style w:type="character" w:customStyle="1" w:styleId="264">
    <w:name w:val="title4"/>
    <w:link w:val="1"/>
    <w:qFormat/>
    <w:uiPriority w:val="0"/>
    <w:rPr>
      <w:b/>
      <w:bCs/>
      <w:color w:val="1D87B3"/>
      <w:sz w:val="15"/>
      <w:szCs w:val="15"/>
    </w:rPr>
  </w:style>
  <w:style w:type="character" w:customStyle="1" w:styleId="265">
    <w:name w:val="标题 2 Char Char"/>
    <w:link w:val="1"/>
    <w:qFormat/>
    <w:uiPriority w:val="0"/>
    <w:rPr>
      <w:rFonts w:ascii="Arial" w:hAnsi="Arial" w:eastAsia="黑体"/>
      <w:b/>
      <w:bCs/>
      <w:sz w:val="32"/>
      <w:szCs w:val="32"/>
      <w:lang w:val="en-US" w:eastAsia="zh-CN" w:bidi="ar-SA"/>
    </w:rPr>
  </w:style>
  <w:style w:type="character" w:customStyle="1" w:styleId="266">
    <w:name w:val="black1"/>
    <w:link w:val="1"/>
    <w:qFormat/>
    <w:uiPriority w:val="0"/>
    <w:rPr>
      <w:color w:val="000000"/>
    </w:rPr>
  </w:style>
  <w:style w:type="character" w:customStyle="1" w:styleId="267">
    <w:name w:val="street-address"/>
    <w:basedOn w:val="192"/>
    <w:link w:val="1"/>
    <w:qFormat/>
    <w:uiPriority w:val="0"/>
  </w:style>
  <w:style w:type="character" w:customStyle="1" w:styleId="268">
    <w:name w:val="locality"/>
    <w:basedOn w:val="192"/>
    <w:link w:val="1"/>
    <w:qFormat/>
    <w:uiPriority w:val="0"/>
  </w:style>
  <w:style w:type="character" w:customStyle="1" w:styleId="269">
    <w:name w:val="正文文本缩进 Char1"/>
    <w:link w:val="270"/>
    <w:qFormat/>
    <w:uiPriority w:val="0"/>
    <w:rPr>
      <w:rFonts w:ascii="宋体" w:hAnsi="宋体" w:eastAsia="宋体"/>
      <w:sz w:val="24"/>
      <w:szCs w:val="24"/>
      <w:lang w:bidi="ar-SA"/>
    </w:rPr>
  </w:style>
  <w:style w:type="paragraph" w:customStyle="1" w:styleId="270">
    <w:name w:val="正文文本缩进1"/>
    <w:basedOn w:val="1"/>
    <w:link w:val="269"/>
    <w:qFormat/>
    <w:uiPriority w:val="0"/>
    <w:pPr>
      <w:spacing w:line="480" w:lineRule="exact"/>
      <w:ind w:firstLine="480"/>
    </w:pPr>
    <w:rPr>
      <w:rFonts w:ascii="宋体" w:hAnsi="宋体"/>
      <w:sz w:val="24"/>
    </w:rPr>
  </w:style>
  <w:style w:type="character" w:customStyle="1" w:styleId="271">
    <w:name w:val="Char Char11"/>
    <w:link w:val="1"/>
    <w:qFormat/>
    <w:uiPriority w:val="0"/>
    <w:rPr>
      <w:rFonts w:ascii="宋体" w:eastAsia="宋体"/>
      <w:b/>
      <w:sz w:val="24"/>
      <w:u w:val="single"/>
      <w:lang w:val="en-US" w:eastAsia="zh-CN" w:bidi="ar-SA"/>
    </w:rPr>
  </w:style>
  <w:style w:type="character" w:customStyle="1" w:styleId="272">
    <w:name w:val="txt"/>
    <w:basedOn w:val="192"/>
    <w:link w:val="1"/>
    <w:qFormat/>
    <w:uiPriority w:val="0"/>
  </w:style>
  <w:style w:type="character" w:customStyle="1" w:styleId="273">
    <w:name w:val="正文缩进 Char Char"/>
    <w:link w:val="274"/>
    <w:qFormat/>
    <w:uiPriority w:val="0"/>
    <w:rPr>
      <w:rFonts w:ascii="宋体" w:eastAsia="宋体"/>
      <w:color w:val="000000"/>
      <w:sz w:val="28"/>
      <w:lang w:bidi="ar-SA"/>
    </w:rPr>
  </w:style>
  <w:style w:type="paragraph" w:customStyle="1" w:styleId="274">
    <w:name w:val="正文缩进1"/>
    <w:basedOn w:val="1"/>
    <w:link w:val="273"/>
    <w:qFormat/>
    <w:uiPriority w:val="0"/>
    <w:pPr>
      <w:widowControl/>
      <w:spacing w:line="480" w:lineRule="exact"/>
      <w:ind w:firstLine="567"/>
    </w:pPr>
    <w:rPr>
      <w:rFonts w:ascii="宋体"/>
      <w:color w:val="000000"/>
      <w:sz w:val="28"/>
      <w:szCs w:val="20"/>
    </w:rPr>
  </w:style>
  <w:style w:type="character" w:customStyle="1" w:styleId="275">
    <w:name w:val="普通文字1 Char1"/>
    <w:link w:val="1"/>
    <w:qFormat/>
    <w:uiPriority w:val="0"/>
    <w:rPr>
      <w:rFonts w:ascii="宋体" w:hAnsi="Courier New" w:eastAsia="宋体"/>
      <w:sz w:val="21"/>
      <w:lang w:val="en-US" w:eastAsia="zh-CN" w:bidi="ar-SA"/>
    </w:rPr>
  </w:style>
  <w:style w:type="character" w:customStyle="1" w:styleId="276">
    <w:name w:val="chanpin1"/>
    <w:link w:val="1"/>
    <w:qFormat/>
    <w:uiPriority w:val="0"/>
    <w:rPr>
      <w:rFonts w:ascii="ˎ̥" w:hAnsi="ˎ̥"/>
      <w:color w:val="000000"/>
      <w:sz w:val="20"/>
      <w:szCs w:val="20"/>
      <w:u w:val="none"/>
    </w:rPr>
  </w:style>
  <w:style w:type="character" w:customStyle="1" w:styleId="277">
    <w:name w:val="列出段落 Char1"/>
    <w:link w:val="278"/>
    <w:qFormat/>
    <w:uiPriority w:val="34"/>
    <w:rPr>
      <w:rFonts w:ascii="Calibri" w:hAnsi="Calibri" w:eastAsia="宋体"/>
      <w:sz w:val="21"/>
      <w:szCs w:val="22"/>
      <w:lang w:val="en-US" w:eastAsia="zh-CN" w:bidi="ar-SA"/>
    </w:rPr>
  </w:style>
  <w:style w:type="paragraph" w:customStyle="1" w:styleId="278">
    <w:name w:val="列出段落"/>
    <w:basedOn w:val="1"/>
    <w:link w:val="277"/>
    <w:qFormat/>
    <w:uiPriority w:val="34"/>
    <w:pPr>
      <w:ind w:firstLine="420"/>
    </w:pPr>
    <w:rPr>
      <w:rFonts w:ascii="Calibri" w:hAnsi="Calibri"/>
      <w:szCs w:val="22"/>
    </w:rPr>
  </w:style>
  <w:style w:type="character" w:customStyle="1" w:styleId="279">
    <w:name w:val="标题 3 Char Char"/>
    <w:link w:val="1"/>
    <w:qFormat/>
    <w:uiPriority w:val="0"/>
    <w:rPr>
      <w:rFonts w:eastAsia="宋体"/>
      <w:b/>
      <w:bCs/>
      <w:sz w:val="32"/>
      <w:szCs w:val="32"/>
      <w:lang w:val="en-US" w:eastAsia="zh-CN" w:bidi="ar-SA"/>
    </w:rPr>
  </w:style>
  <w:style w:type="character" w:customStyle="1" w:styleId="280">
    <w:name w:val="段1 Char"/>
    <w:link w:val="1"/>
    <w:qFormat/>
    <w:uiPriority w:val="0"/>
    <w:rPr>
      <w:rFonts w:ascii="宋体" w:eastAsia="宋体"/>
      <w:sz w:val="24"/>
      <w:lang w:val="en-US" w:eastAsia="zh-CN" w:bidi="ar-SA"/>
    </w:rPr>
  </w:style>
  <w:style w:type="character" w:customStyle="1" w:styleId="281">
    <w:name w:val="chanpin拷贝"/>
    <w:basedOn w:val="192"/>
    <w:link w:val="1"/>
    <w:qFormat/>
    <w:uiPriority w:val="0"/>
  </w:style>
  <w:style w:type="character" w:customStyle="1" w:styleId="282">
    <w:name w:val="纯文本 Char1"/>
    <w:link w:val="1"/>
    <w:qFormat/>
    <w:uiPriority w:val="0"/>
    <w:rPr>
      <w:rFonts w:ascii="宋体" w:hAnsi="Courier New" w:eastAsia="宋体"/>
      <w:sz w:val="21"/>
      <w:lang w:val="en-US" w:eastAsia="zh-CN" w:bidi="ar-SA"/>
    </w:rPr>
  </w:style>
  <w:style w:type="character" w:customStyle="1" w:styleId="283">
    <w:name w:val="apple-style-span"/>
    <w:link w:val="1"/>
    <w:qFormat/>
    <w:uiPriority w:val="0"/>
    <w:rPr>
      <w:rFonts w:cs="Times New Roman"/>
    </w:rPr>
  </w:style>
  <w:style w:type="paragraph" w:customStyle="1" w:styleId="284">
    <w:name w:val="二级条标题"/>
    <w:basedOn w:val="285"/>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5">
    <w:name w:val="一级条标题"/>
    <w:basedOn w:val="286"/>
    <w:next w:val="1"/>
    <w:qFormat/>
    <w:uiPriority w:val="0"/>
    <w:pPr>
      <w:numPr>
        <w:ilvl w:val="1"/>
      </w:numPr>
      <w:tabs>
        <w:tab w:val="left" w:pos="360"/>
        <w:tab w:val="left" w:pos="840"/>
      </w:tabs>
      <w:ind w:left="0" w:hanging="840"/>
      <w:outlineLvl w:val="1"/>
    </w:pPr>
  </w:style>
  <w:style w:type="paragraph" w:customStyle="1" w:styleId="286">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87">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88">
    <w:name w:val="字元 字元"/>
    <w:basedOn w:val="1"/>
    <w:qFormat/>
    <w:uiPriority w:val="0"/>
    <w:rPr>
      <w:rFonts w:ascii="Tahoma" w:hAnsi="Tahoma"/>
      <w:sz w:val="24"/>
      <w:szCs w:val="20"/>
    </w:rPr>
  </w:style>
  <w:style w:type="paragraph" w:customStyle="1" w:styleId="289">
    <w:name w:val="Char3 Char Char Char"/>
    <w:basedOn w:val="1"/>
    <w:qFormat/>
    <w:uiPriority w:val="0"/>
    <w:rPr>
      <w:rFonts w:ascii="Tahoma" w:hAnsi="Tahoma"/>
      <w:sz w:val="24"/>
      <w:szCs w:val="20"/>
    </w:rPr>
  </w:style>
  <w:style w:type="paragraph" w:customStyle="1" w:styleId="290">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1">
    <w:name w:val="项目编号2"/>
    <w:basedOn w:val="292"/>
    <w:qFormat/>
    <w:uiPriority w:val="0"/>
    <w:pPr>
      <w:numPr>
        <w:numId w:val="2"/>
      </w:numPr>
    </w:pPr>
  </w:style>
  <w:style w:type="paragraph" w:customStyle="1" w:styleId="292">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3">
    <w:name w:val="图中文字"/>
    <w:basedOn w:val="1"/>
    <w:qFormat/>
    <w:uiPriority w:val="0"/>
    <w:pPr>
      <w:spacing w:line="0" w:lineRule="atLeast"/>
      <w:jc w:val="center"/>
    </w:pPr>
    <w:rPr>
      <w:sz w:val="24"/>
      <w:szCs w:val="20"/>
    </w:rPr>
  </w:style>
  <w:style w:type="paragraph" w:customStyle="1" w:styleId="294">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5">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6">
    <w:name w:val="Char2"/>
    <w:basedOn w:val="1"/>
    <w:qFormat/>
    <w:uiPriority w:val="0"/>
    <w:rPr>
      <w:rFonts w:ascii="Tahoma" w:hAnsi="Tahoma"/>
      <w:sz w:val="24"/>
      <w:szCs w:val="20"/>
    </w:rPr>
  </w:style>
  <w:style w:type="paragraph" w:customStyle="1" w:styleId="297">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8">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299">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0">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2">
    <w:name w:val="Char Char Char Char Char Char Char"/>
    <w:basedOn w:val="1"/>
    <w:qFormat/>
    <w:uiPriority w:val="0"/>
    <w:pPr>
      <w:spacing w:line="360" w:lineRule="auto"/>
      <w:ind w:firstLine="200"/>
    </w:pPr>
    <w:rPr>
      <w:rFonts w:eastAsia="仿宋_GB2312"/>
      <w:sz w:val="24"/>
    </w:rPr>
  </w:style>
  <w:style w:type="paragraph" w:customStyle="1" w:styleId="303">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4">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5">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6">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07">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9">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0">
    <w:name w:val="font8"/>
    <w:basedOn w:val="1"/>
    <w:qFormat/>
    <w:uiPriority w:val="0"/>
    <w:pPr>
      <w:widowControl/>
      <w:spacing w:before="100" w:beforeAutospacing="1" w:after="100" w:afterAutospacing="1"/>
      <w:jc w:val="left"/>
    </w:pPr>
    <w:rPr>
      <w:sz w:val="36"/>
      <w:szCs w:val="36"/>
    </w:rPr>
  </w:style>
  <w:style w:type="paragraph" w:customStyle="1" w:styleId="311">
    <w:name w:val="Char"/>
    <w:basedOn w:val="1"/>
    <w:qFormat/>
    <w:uiPriority w:val="0"/>
    <w:pPr>
      <w:tabs>
        <w:tab w:val="left" w:pos="360"/>
      </w:tabs>
    </w:pPr>
    <w:rPr>
      <w:sz w:val="24"/>
    </w:rPr>
  </w:style>
  <w:style w:type="paragraph" w:customStyle="1" w:styleId="312">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3">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4">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5">
    <w:name w:val="Char Char1"/>
    <w:basedOn w:val="207"/>
    <w:qFormat/>
    <w:uiPriority w:val="0"/>
    <w:rPr>
      <w:rFonts w:ascii="Tahoma" w:hAnsi="Tahoma"/>
      <w:sz w:val="24"/>
    </w:rPr>
  </w:style>
  <w:style w:type="paragraph" w:customStyle="1" w:styleId="316">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17">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8">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9">
    <w:name w:val="样式 宋体 五号 行距: 单倍行距"/>
    <w:basedOn w:val="1"/>
    <w:qFormat/>
    <w:uiPriority w:val="0"/>
    <w:pPr>
      <w:jc w:val="left"/>
    </w:pPr>
    <w:rPr>
      <w:rFonts w:ascii="宋体" w:hAnsi="宋体"/>
      <w:szCs w:val="20"/>
    </w:rPr>
  </w:style>
  <w:style w:type="paragraph" w:customStyle="1" w:styleId="320">
    <w:name w:val="Char1 Char Char Char1"/>
    <w:basedOn w:val="1"/>
    <w:qFormat/>
    <w:uiPriority w:val="0"/>
    <w:rPr>
      <w:rFonts w:ascii="Tahoma" w:hAnsi="Tahoma" w:cs="仿宋_GB2312"/>
      <w:sz w:val="24"/>
      <w:szCs w:val="28"/>
    </w:rPr>
  </w:style>
  <w:style w:type="paragraph" w:customStyle="1" w:styleId="321">
    <w:name w:val="四级条标题"/>
    <w:basedOn w:val="322"/>
    <w:next w:val="1"/>
    <w:qFormat/>
    <w:uiPriority w:val="0"/>
    <w:pPr>
      <w:numPr>
        <w:ilvl w:val="4"/>
      </w:numPr>
      <w:tabs>
        <w:tab w:val="left" w:pos="360"/>
        <w:tab w:val="left" w:pos="840"/>
      </w:tabs>
      <w:ind w:left="0" w:hanging="840"/>
      <w:outlineLvl w:val="4"/>
    </w:pPr>
  </w:style>
  <w:style w:type="paragraph" w:customStyle="1" w:styleId="322">
    <w:name w:val="三级条标题"/>
    <w:basedOn w:val="284"/>
    <w:next w:val="1"/>
    <w:qFormat/>
    <w:uiPriority w:val="0"/>
    <w:pPr>
      <w:numPr>
        <w:ilvl w:val="3"/>
        <w:numId w:val="1"/>
      </w:numPr>
      <w:ind w:left="0" w:hanging="840"/>
      <w:outlineLvl w:val="3"/>
    </w:pPr>
  </w:style>
  <w:style w:type="paragraph" w:customStyle="1" w:styleId="323">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4">
    <w:name w:val="样式 标题 2 + 宋体 五号 行距: 单倍行距"/>
    <w:basedOn w:val="184"/>
    <w:qFormat/>
    <w:uiPriority w:val="0"/>
    <w:pPr>
      <w:numPr>
        <w:ilvl w:val="1"/>
        <w:numId w:val="4"/>
      </w:numPr>
      <w:spacing w:before="260" w:after="260" w:line="240" w:lineRule="auto"/>
      <w:jc w:val="left"/>
    </w:pPr>
    <w:rPr>
      <w:rFonts w:ascii="宋体" w:hAnsi="宋体" w:eastAsia="宋体"/>
      <w:bCs/>
      <w:sz w:val="21"/>
    </w:rPr>
  </w:style>
  <w:style w:type="paragraph" w:customStyle="1" w:styleId="325">
    <w:name w:val="List Paragraph1"/>
    <w:basedOn w:val="1"/>
    <w:qFormat/>
    <w:uiPriority w:val="0"/>
    <w:pPr>
      <w:ind w:firstLine="420"/>
    </w:pPr>
    <w:rPr>
      <w:rFonts w:ascii="Calibri" w:hAnsi="Calibri"/>
      <w:szCs w:val="22"/>
    </w:rPr>
  </w:style>
  <w:style w:type="paragraph" w:customStyle="1" w:styleId="326">
    <w:name w:val="项目符号1"/>
    <w:basedOn w:val="327"/>
    <w:qFormat/>
    <w:uiPriority w:val="0"/>
    <w:pPr>
      <w:ind w:left="-25" w:firstLine="0"/>
    </w:pPr>
  </w:style>
  <w:style w:type="paragraph" w:customStyle="1" w:styleId="327">
    <w:name w:val="正文文本样式"/>
    <w:basedOn w:val="1"/>
    <w:qFormat/>
    <w:uiPriority w:val="0"/>
    <w:pPr>
      <w:spacing w:line="360" w:lineRule="auto"/>
      <w:ind w:firstLine="482"/>
    </w:pPr>
    <w:rPr>
      <w:rFonts w:cs="宋体"/>
      <w:sz w:val="24"/>
      <w:szCs w:val="20"/>
    </w:rPr>
  </w:style>
  <w:style w:type="paragraph" w:customStyle="1" w:styleId="328">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29">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0">
    <w:name w:val="五级条标题"/>
    <w:basedOn w:val="321"/>
    <w:next w:val="1"/>
    <w:qFormat/>
    <w:uiPriority w:val="0"/>
    <w:pPr>
      <w:numPr>
        <w:ilvl w:val="5"/>
      </w:numPr>
      <w:ind w:left="0" w:hanging="840"/>
      <w:outlineLvl w:val="5"/>
    </w:pPr>
  </w:style>
  <w:style w:type="paragraph" w:customStyle="1" w:styleId="331">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2">
    <w:name w:val="文档正文"/>
    <w:basedOn w:val="1"/>
    <w:qFormat/>
    <w:uiPriority w:val="0"/>
    <w:pPr>
      <w:spacing w:before="120" w:after="120" w:line="180" w:lineRule="auto"/>
    </w:pPr>
    <w:rPr>
      <w:rFonts w:ascii="Arial" w:hAnsi="Arial"/>
      <w:szCs w:val="20"/>
    </w:rPr>
  </w:style>
  <w:style w:type="paragraph" w:customStyle="1" w:styleId="333">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4">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5">
    <w:name w:val="Char Char Char1 Char"/>
    <w:basedOn w:val="1"/>
    <w:qFormat/>
    <w:uiPriority w:val="0"/>
    <w:rPr>
      <w:rFonts w:ascii="Tahoma" w:hAnsi="Tahoma"/>
      <w:sz w:val="24"/>
      <w:szCs w:val="20"/>
    </w:rPr>
  </w:style>
  <w:style w:type="paragraph" w:customStyle="1" w:styleId="336">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37">
    <w:name w:val="1名"/>
    <w:basedOn w:val="1"/>
    <w:qFormat/>
    <w:uiPriority w:val="0"/>
    <w:pPr>
      <w:numPr>
        <w:ilvl w:val="0"/>
        <w:numId w:val="5"/>
      </w:numPr>
      <w:spacing w:before="120"/>
    </w:pPr>
    <w:rPr>
      <w:rFonts w:ascii="宋体"/>
      <w:sz w:val="28"/>
      <w:szCs w:val="20"/>
    </w:rPr>
  </w:style>
  <w:style w:type="paragraph" w:customStyle="1" w:styleId="338">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39">
    <w:name w:val="Char Char Char1 Char1"/>
    <w:basedOn w:val="1"/>
    <w:qFormat/>
    <w:uiPriority w:val="0"/>
    <w:rPr>
      <w:rFonts w:ascii="Tahoma" w:hAnsi="Tahoma"/>
      <w:sz w:val="24"/>
      <w:szCs w:val="20"/>
    </w:rPr>
  </w:style>
  <w:style w:type="paragraph" w:customStyle="1" w:styleId="340">
    <w:name w:val="Char Char Char Char Char Char Char Char Char Char"/>
    <w:basedOn w:val="1"/>
    <w:qFormat/>
    <w:uiPriority w:val="0"/>
  </w:style>
  <w:style w:type="paragraph" w:customStyle="1" w:styleId="341">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2">
    <w:name w:val="Char1"/>
    <w:basedOn w:val="1"/>
    <w:qFormat/>
    <w:uiPriority w:val="0"/>
    <w:pPr>
      <w:tabs>
        <w:tab w:val="left" w:pos="360"/>
      </w:tabs>
    </w:pPr>
    <w:rPr>
      <w:sz w:val="24"/>
    </w:rPr>
  </w:style>
  <w:style w:type="paragraph" w:customStyle="1" w:styleId="343">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5">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6">
    <w:name w:val="默认段落字体 Para Char Char Char Char"/>
    <w:basedOn w:val="1"/>
    <w:qFormat/>
    <w:uiPriority w:val="0"/>
    <w:rPr>
      <w:rFonts w:ascii="Arial" w:hAnsi="Arial" w:cs="Arial"/>
      <w:szCs w:val="21"/>
    </w:rPr>
  </w:style>
  <w:style w:type="paragraph" w:customStyle="1" w:styleId="347">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48">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49">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0">
    <w:name w:val="Char Char Char"/>
    <w:basedOn w:val="1"/>
    <w:qFormat/>
    <w:uiPriority w:val="0"/>
    <w:rPr>
      <w:rFonts w:ascii="Tahoma" w:hAnsi="Tahoma"/>
      <w:sz w:val="24"/>
      <w:szCs w:val="20"/>
    </w:rPr>
  </w:style>
  <w:style w:type="paragraph" w:customStyle="1" w:styleId="351">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2">
    <w:name w:val="缺省文本"/>
    <w:basedOn w:val="1"/>
    <w:qFormat/>
    <w:uiPriority w:val="0"/>
    <w:pPr>
      <w:jc w:val="left"/>
    </w:pPr>
    <w:rPr>
      <w:sz w:val="24"/>
    </w:rPr>
  </w:style>
  <w:style w:type="paragraph" w:customStyle="1" w:styleId="353">
    <w:name w:val="Char Char Char1"/>
    <w:basedOn w:val="1"/>
    <w:qFormat/>
    <w:uiPriority w:val="0"/>
    <w:rPr>
      <w:rFonts w:ascii="Tahoma" w:hAnsi="Tahoma"/>
      <w:sz w:val="24"/>
      <w:szCs w:val="20"/>
    </w:rPr>
  </w:style>
  <w:style w:type="paragraph" w:customStyle="1" w:styleId="354">
    <w:name w:val="Char Char Char Char Char Char Char1"/>
    <w:basedOn w:val="1"/>
    <w:qFormat/>
    <w:uiPriority w:val="0"/>
    <w:pPr>
      <w:spacing w:line="360" w:lineRule="auto"/>
      <w:ind w:firstLine="200"/>
    </w:pPr>
    <w:rPr>
      <w:rFonts w:eastAsia="仿宋_GB2312"/>
      <w:sz w:val="24"/>
    </w:rPr>
  </w:style>
  <w:style w:type="paragraph" w:customStyle="1" w:styleId="355">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6">
    <w:name w:val="样式21"/>
    <w:basedOn w:val="244"/>
    <w:qFormat/>
    <w:uiPriority w:val="0"/>
    <w:pPr>
      <w:spacing w:line="360" w:lineRule="auto"/>
      <w:jc w:val="center"/>
    </w:pPr>
    <w:rPr>
      <w:sz w:val="24"/>
    </w:rPr>
  </w:style>
  <w:style w:type="paragraph" w:customStyle="1" w:styleId="357">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58">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59">
    <w:name w:val="正文 + 楷体_GB2312"/>
    <w:basedOn w:val="1"/>
    <w:qFormat/>
    <w:uiPriority w:val="0"/>
    <w:pPr>
      <w:widowControl/>
      <w:jc w:val="left"/>
    </w:pPr>
    <w:rPr>
      <w:rFonts w:ascii="楷体_GB2312" w:eastAsia="楷体_GB2312" w:cs="Arial"/>
      <w:sz w:val="24"/>
    </w:rPr>
  </w:style>
  <w:style w:type="paragraph" w:customStyle="1" w:styleId="36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1">
    <w:name w:val="1 Char Char Char Char"/>
    <w:basedOn w:val="1"/>
    <w:qFormat/>
    <w:uiPriority w:val="0"/>
    <w:rPr>
      <w:rFonts w:ascii="Tahoma" w:hAnsi="Tahoma"/>
      <w:sz w:val="24"/>
      <w:szCs w:val="20"/>
    </w:rPr>
  </w:style>
  <w:style w:type="paragraph" w:customStyle="1" w:styleId="362">
    <w:name w:val="列出段落1"/>
    <w:basedOn w:val="1"/>
    <w:qFormat/>
    <w:uiPriority w:val="0"/>
    <w:pPr>
      <w:ind w:firstLine="420"/>
    </w:pPr>
    <w:rPr>
      <w:rFonts w:ascii="Calibri" w:hAnsi="Calibri"/>
      <w:szCs w:val="22"/>
    </w:rPr>
  </w:style>
  <w:style w:type="paragraph" w:customStyle="1" w:styleId="363">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4">
    <w:name w:val="字元 字元1"/>
    <w:basedOn w:val="1"/>
    <w:qFormat/>
    <w:uiPriority w:val="0"/>
    <w:rPr>
      <w:rFonts w:ascii="Tahoma" w:hAnsi="Tahoma"/>
      <w:sz w:val="24"/>
      <w:szCs w:val="20"/>
    </w:rPr>
  </w:style>
  <w:style w:type="paragraph" w:customStyle="1" w:styleId="365">
    <w:name w:val="_Style 160"/>
    <w:qFormat/>
    <w:uiPriority w:val="0"/>
    <w:rPr>
      <w:rFonts w:hint="default" w:ascii="Times New Roman" w:hAnsi="Times New Roman" w:eastAsia="宋体" w:cs="Times New Roman"/>
      <w:sz w:val="21"/>
      <w:szCs w:val="24"/>
      <w:lang w:val="en-US" w:eastAsia="zh-CN" w:bidi="ar-SA"/>
    </w:rPr>
  </w:style>
  <w:style w:type="paragraph" w:customStyle="1" w:styleId="366">
    <w:name w:val="项目编号3"/>
    <w:basedOn w:val="327"/>
    <w:qFormat/>
    <w:uiPriority w:val="0"/>
    <w:pPr>
      <w:numPr>
        <w:ilvl w:val="0"/>
        <w:numId w:val="6"/>
      </w:numPr>
    </w:pPr>
  </w:style>
  <w:style w:type="paragraph" w:customStyle="1" w:styleId="367">
    <w:name w:val="Char21"/>
    <w:basedOn w:val="1"/>
    <w:qFormat/>
    <w:uiPriority w:val="0"/>
    <w:rPr>
      <w:rFonts w:ascii="Tahoma" w:hAnsi="Tahoma"/>
      <w:sz w:val="24"/>
      <w:szCs w:val="20"/>
    </w:rPr>
  </w:style>
  <w:style w:type="paragraph" w:customStyle="1" w:styleId="368">
    <w:name w:val="表格文字"/>
    <w:basedOn w:val="215"/>
    <w:qFormat/>
    <w:uiPriority w:val="0"/>
    <w:pPr>
      <w:spacing w:before="20" w:after="20" w:line="240" w:lineRule="auto"/>
      <w:ind w:firstLine="0"/>
    </w:pPr>
    <w:rPr>
      <w:rFonts w:ascii="Century Gothic" w:hAnsi="Century Gothic"/>
      <w:sz w:val="20"/>
      <w:szCs w:val="20"/>
    </w:rPr>
  </w:style>
  <w:style w:type="paragraph" w:customStyle="1" w:styleId="369">
    <w:name w:val="Char Char Char Char Char Char Char Char Char Char1"/>
    <w:basedOn w:val="1"/>
    <w:qFormat/>
    <w:uiPriority w:val="0"/>
    <w:rPr>
      <w:rFonts w:ascii="宋体" w:hAnsi="宋体" w:cs="Courier New"/>
      <w:sz w:val="32"/>
      <w:szCs w:val="32"/>
    </w:rPr>
  </w:style>
  <w:style w:type="paragraph" w:customStyle="1" w:styleId="370">
    <w:name w:val="正文文本样式 加粗"/>
    <w:basedOn w:val="327"/>
    <w:qFormat/>
    <w:uiPriority w:val="0"/>
    <w:rPr>
      <w:b/>
    </w:rPr>
  </w:style>
  <w:style w:type="paragraph" w:customStyle="1" w:styleId="371">
    <w:name w:val="Char2 Char Char Char Char Char Char"/>
    <w:basedOn w:val="1"/>
    <w:qFormat/>
    <w:uiPriority w:val="0"/>
    <w:pPr>
      <w:widowControl/>
      <w:spacing w:line="400" w:lineRule="exact"/>
      <w:jc w:val="center"/>
    </w:pPr>
  </w:style>
  <w:style w:type="paragraph" w:customStyle="1" w:styleId="372">
    <w:name w:val="Char Char4"/>
    <w:basedOn w:val="1"/>
    <w:qFormat/>
    <w:uiPriority w:val="0"/>
    <w:pPr>
      <w:widowControl/>
      <w:spacing w:line="400" w:lineRule="exact"/>
      <w:jc w:val="center"/>
    </w:pPr>
  </w:style>
  <w:style w:type="paragraph" w:customStyle="1" w:styleId="373">
    <w:name w:val="Char3 Char Char Char1"/>
    <w:basedOn w:val="1"/>
    <w:qFormat/>
    <w:uiPriority w:val="0"/>
    <w:rPr>
      <w:rFonts w:ascii="Tahoma" w:hAnsi="Tahoma"/>
      <w:sz w:val="24"/>
      <w:szCs w:val="20"/>
    </w:rPr>
  </w:style>
  <w:style w:type="paragraph" w:customStyle="1" w:styleId="374">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5">
    <w:name w:val="22222222222222"/>
    <w:basedOn w:val="1"/>
    <w:qFormat/>
    <w:uiPriority w:val="0"/>
    <w:pPr>
      <w:widowControl/>
      <w:spacing w:line="360" w:lineRule="auto"/>
      <w:ind w:firstLine="480"/>
      <w:jc w:val="left"/>
    </w:pPr>
    <w:rPr>
      <w:color w:val="FF0000"/>
      <w:sz w:val="24"/>
      <w:szCs w:val="20"/>
    </w:rPr>
  </w:style>
  <w:style w:type="character" w:customStyle="1" w:styleId="376">
    <w:name w:val="中等深浅网格 1 - 强调文字颜色 2 Char"/>
    <w:link w:val="377"/>
    <w:qFormat/>
    <w:uiPriority w:val="0"/>
    <w:rPr>
      <w:sz w:val="21"/>
      <w:szCs w:val="24"/>
      <w:lang w:val="zh-CN" w:eastAsia="zh-CN" w:bidi="ar-SA"/>
    </w:rPr>
  </w:style>
  <w:style w:type="paragraph" w:customStyle="1" w:styleId="377">
    <w:name w:val="1"/>
    <w:link w:val="376"/>
    <w:qFormat/>
    <w:uiPriority w:val="0"/>
    <w:rPr>
      <w:rFonts w:hint="default" w:ascii="Times New Roman" w:hAnsi="Times New Roman" w:eastAsia="宋体" w:cs="Times New Roman"/>
      <w:sz w:val="21"/>
      <w:szCs w:val="24"/>
      <w:lang w:val="zh-CN" w:eastAsia="zh-CN" w:bidi="ar-SA"/>
    </w:rPr>
  </w:style>
  <w:style w:type="paragraph" w:customStyle="1" w:styleId="378">
    <w:name w:val="图文"/>
    <w:basedOn w:val="1"/>
    <w:qFormat/>
    <w:uiPriority w:val="0"/>
    <w:pPr>
      <w:spacing w:after="50" w:line="360" w:lineRule="auto"/>
    </w:pPr>
    <w:rPr>
      <w:sz w:val="24"/>
    </w:rPr>
  </w:style>
  <w:style w:type="paragraph" w:customStyle="1" w:styleId="379">
    <w:name w:val="xl23"/>
    <w:basedOn w:val="1"/>
    <w:qFormat/>
    <w:uiPriority w:val="0"/>
    <w:pPr>
      <w:widowControl/>
      <w:spacing w:before="100" w:beforeAutospacing="1" w:after="100" w:afterAutospacing="1" w:line="360" w:lineRule="auto"/>
    </w:pPr>
    <w:rPr>
      <w:sz w:val="24"/>
      <w:szCs w:val="20"/>
    </w:rPr>
  </w:style>
  <w:style w:type="paragraph" w:customStyle="1" w:styleId="380">
    <w:name w:val="正文表格"/>
    <w:basedOn w:val="1"/>
    <w:link w:val="381"/>
    <w:qFormat/>
    <w:uiPriority w:val="0"/>
    <w:pPr>
      <w:jc w:val="left"/>
    </w:pPr>
    <w:rPr>
      <w:rFonts w:ascii="宋体" w:hAnsi="宋体"/>
      <w:color w:val="000000"/>
      <w:szCs w:val="21"/>
    </w:rPr>
  </w:style>
  <w:style w:type="character" w:customStyle="1" w:styleId="381">
    <w:name w:val="正文表格 Char"/>
    <w:link w:val="380"/>
    <w:qFormat/>
    <w:uiPriority w:val="0"/>
    <w:rPr>
      <w:rFonts w:ascii="宋体" w:hAnsi="宋体"/>
      <w:color w:val="000000"/>
      <w:sz w:val="21"/>
      <w:szCs w:val="21"/>
    </w:rPr>
  </w:style>
  <w:style w:type="paragraph" w:customStyle="1" w:styleId="382">
    <w:name w:val="正文重点"/>
    <w:basedOn w:val="1"/>
    <w:link w:val="383"/>
    <w:qFormat/>
    <w:uiPriority w:val="0"/>
    <w:pPr>
      <w:spacing w:line="360" w:lineRule="auto"/>
      <w:ind w:firstLine="482"/>
      <w:jc w:val="left"/>
    </w:pPr>
    <w:rPr>
      <w:b/>
      <w:sz w:val="24"/>
      <w:szCs w:val="20"/>
    </w:rPr>
  </w:style>
  <w:style w:type="character" w:customStyle="1" w:styleId="383">
    <w:name w:val="正文重点 Char"/>
    <w:link w:val="382"/>
    <w:qFormat/>
    <w:uiPriority w:val="0"/>
    <w:rPr>
      <w:b/>
      <w:sz w:val="24"/>
    </w:rPr>
  </w:style>
  <w:style w:type="paragraph" w:customStyle="1" w:styleId="384">
    <w:name w:val="标题1-附件"/>
    <w:basedOn w:val="183"/>
    <w:qFormat/>
    <w:uiPriority w:val="0"/>
    <w:pPr>
      <w:jc w:val="left"/>
    </w:pPr>
    <w:rPr>
      <w:sz w:val="24"/>
      <w:szCs w:val="24"/>
    </w:rPr>
  </w:style>
  <w:style w:type="paragraph" w:customStyle="1" w:styleId="385">
    <w:name w:val="正文小标题"/>
    <w:basedOn w:val="1"/>
    <w:next w:val="204"/>
    <w:link w:val="386"/>
    <w:qFormat/>
    <w:uiPriority w:val="0"/>
    <w:pPr>
      <w:spacing w:before="312" w:after="312"/>
      <w:ind w:firstLine="482"/>
      <w:jc w:val="left"/>
    </w:pPr>
    <w:rPr>
      <w:rFonts w:ascii="宋体" w:hAnsi="宋体"/>
      <w:b/>
      <w:i/>
      <w:color w:val="FF0000"/>
      <w:sz w:val="24"/>
      <w:szCs w:val="20"/>
    </w:rPr>
  </w:style>
  <w:style w:type="character" w:customStyle="1" w:styleId="386">
    <w:name w:val="正文小标题 Char"/>
    <w:link w:val="385"/>
    <w:qFormat/>
    <w:uiPriority w:val="0"/>
    <w:rPr>
      <w:rFonts w:ascii="宋体" w:hAnsi="宋体"/>
      <w:b/>
      <w:i/>
      <w:color w:val="FF0000"/>
      <w:sz w:val="24"/>
    </w:rPr>
  </w:style>
  <w:style w:type="paragraph" w:customStyle="1" w:styleId="387">
    <w:name w:val="正文大标题"/>
    <w:basedOn w:val="385"/>
    <w:next w:val="204"/>
    <w:link w:val="388"/>
    <w:qFormat/>
    <w:uiPriority w:val="0"/>
    <w:pPr>
      <w:jc w:val="center"/>
    </w:pPr>
    <w:rPr>
      <w:i w:val="0"/>
      <w:color w:val="000000"/>
      <w:sz w:val="28"/>
      <w:szCs w:val="21"/>
    </w:rPr>
  </w:style>
  <w:style w:type="character" w:customStyle="1" w:styleId="388">
    <w:name w:val="正文大标题 Char"/>
    <w:link w:val="387"/>
    <w:qFormat/>
    <w:uiPriority w:val="0"/>
    <w:rPr>
      <w:rFonts w:ascii="宋体" w:hAnsi="宋体"/>
      <w:b/>
      <w:color w:val="000000"/>
      <w:sz w:val="28"/>
      <w:szCs w:val="21"/>
    </w:rPr>
  </w:style>
  <w:style w:type="paragraph" w:customStyle="1" w:styleId="389">
    <w:name w:val="注释"/>
    <w:basedOn w:val="1"/>
    <w:link w:val="390"/>
    <w:qFormat/>
    <w:uiPriority w:val="0"/>
    <w:pPr>
      <w:ind w:left="420" w:hanging="420"/>
      <w:jc w:val="left"/>
    </w:pPr>
    <w:rPr>
      <w:rFonts w:ascii="宋体" w:hAnsi="宋体"/>
      <w:szCs w:val="21"/>
    </w:rPr>
  </w:style>
  <w:style w:type="character" w:customStyle="1" w:styleId="390">
    <w:name w:val="注释 Char"/>
    <w:link w:val="389"/>
    <w:qFormat/>
    <w:uiPriority w:val="0"/>
    <w:rPr>
      <w:rFonts w:ascii="宋体" w:hAnsi="宋体"/>
      <w:sz w:val="21"/>
      <w:szCs w:val="21"/>
    </w:rPr>
  </w:style>
  <w:style w:type="paragraph" w:customStyle="1" w:styleId="391">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2">
    <w:name w:val="正文须知-2级"/>
    <w:basedOn w:val="1"/>
    <w:qFormat/>
    <w:uiPriority w:val="0"/>
    <w:pPr>
      <w:numPr>
        <w:ilvl w:val="1"/>
        <w:numId w:val="7"/>
      </w:numPr>
      <w:spacing w:line="300" w:lineRule="auto"/>
    </w:pPr>
    <w:rPr>
      <w:rFonts w:ascii="宋体" w:hAnsi="Calibri"/>
      <w:sz w:val="24"/>
      <w:szCs w:val="21"/>
    </w:rPr>
  </w:style>
  <w:style w:type="paragraph" w:customStyle="1" w:styleId="393">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4">
    <w:name w:val="纯文本 字符"/>
    <w:link w:val="1"/>
    <w:qFormat/>
    <w:uiPriority w:val="99"/>
    <w:rPr>
      <w:rFonts w:ascii="宋体" w:hAnsi="Courier New" w:eastAsia="宋体" w:cs="Times New Roman"/>
      <w:sz w:val="21"/>
      <w:szCs w:val="21"/>
      <w:lang w:val="en-US" w:eastAsia="zh-CN" w:bidi="ar-SA"/>
    </w:rPr>
  </w:style>
  <w:style w:type="paragraph" w:customStyle="1" w:styleId="395">
    <w:name w:val="表格1"/>
    <w:basedOn w:val="1"/>
    <w:qFormat/>
    <w:uiPriority w:val="0"/>
    <w:pPr>
      <w:ind w:firstLine="480"/>
      <w:jc w:val="center"/>
    </w:pPr>
    <w:rPr>
      <w:sz w:val="24"/>
      <w:szCs w:val="20"/>
    </w:rPr>
  </w:style>
  <w:style w:type="character" w:customStyle="1" w:styleId="396">
    <w:name w:val="纯文本 字符1"/>
    <w:link w:val="1"/>
    <w:qFormat/>
    <w:uiPriority w:val="0"/>
    <w:rPr>
      <w:rFonts w:ascii="宋体" w:hAnsi="Courier New"/>
    </w:rPr>
  </w:style>
  <w:style w:type="character" w:customStyle="1" w:styleId="397">
    <w:name w:val="bjh-p"/>
    <w:link w:val="1"/>
    <w:qFormat/>
    <w:uiPriority w:val="0"/>
  </w:style>
  <w:style w:type="paragraph" w:customStyle="1" w:styleId="398">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399">
    <w:name w:val="正文格式 Char"/>
    <w:link w:val="400"/>
    <w:qFormat/>
    <w:uiPriority w:val="0"/>
    <w:rPr>
      <w:rFonts w:ascii="宋体" w:hAnsi="宋体"/>
      <w:sz w:val="24"/>
      <w:szCs w:val="24"/>
      <w:lang w:val="en-GB"/>
    </w:rPr>
  </w:style>
  <w:style w:type="paragraph" w:customStyle="1" w:styleId="400">
    <w:name w:val="正文格式"/>
    <w:basedOn w:val="1"/>
    <w:link w:val="399"/>
    <w:qFormat/>
    <w:uiPriority w:val="0"/>
    <w:pPr>
      <w:spacing w:line="360" w:lineRule="auto"/>
      <w:ind w:firstLine="480"/>
    </w:pPr>
    <w:rPr>
      <w:rFonts w:ascii="宋体" w:hAnsi="宋体"/>
      <w:sz w:val="24"/>
      <w:lang w:val="en-GB"/>
    </w:rPr>
  </w:style>
  <w:style w:type="character" w:customStyle="1" w:styleId="401">
    <w:name w:val="标题 3 Char"/>
    <w:link w:val="1"/>
    <w:qFormat/>
    <w:uiPriority w:val="0"/>
    <w:rPr>
      <w:rFonts w:ascii="宋体" w:eastAsia="宋体"/>
      <w:b/>
      <w:sz w:val="24"/>
      <w:u w:val="single"/>
      <w:lang w:val="en-US" w:eastAsia="zh-CN" w:bidi="ar-SA"/>
    </w:rPr>
  </w:style>
  <w:style w:type="character" w:customStyle="1" w:styleId="402">
    <w:name w:val="正文缩进 Char"/>
    <w:link w:val="1"/>
    <w:qFormat/>
    <w:uiPriority w:val="0"/>
    <w:rPr>
      <w:rFonts w:ascii="宋体" w:eastAsia="宋体"/>
      <w:sz w:val="24"/>
      <w:szCs w:val="24"/>
      <w:lang w:val="en-US" w:eastAsia="zh-CN" w:bidi="ar-SA"/>
    </w:rPr>
  </w:style>
  <w:style w:type="character" w:customStyle="1" w:styleId="403">
    <w:name w:val="Char Char111"/>
    <w:link w:val="1"/>
    <w:qFormat/>
    <w:uiPriority w:val="0"/>
    <w:rPr>
      <w:rFonts w:ascii="宋体" w:eastAsia="宋体"/>
      <w:b/>
      <w:sz w:val="24"/>
      <w:u w:val="single"/>
      <w:lang w:val="en-US" w:eastAsia="zh-CN" w:bidi="ar-SA"/>
    </w:rPr>
  </w:style>
  <w:style w:type="character" w:customStyle="1" w:styleId="404">
    <w:name w:val="正文文本缩进 Char"/>
    <w:link w:val="1"/>
    <w:qFormat/>
    <w:uiPriority w:val="0"/>
    <w:rPr>
      <w:rFonts w:eastAsia="宋体"/>
      <w:sz w:val="24"/>
      <w:szCs w:val="24"/>
      <w:lang w:val="en-US" w:eastAsia="zh-CN" w:bidi="ar-SA"/>
    </w:rPr>
  </w:style>
  <w:style w:type="character" w:customStyle="1" w:styleId="405">
    <w:name w:val="列出段落 Char"/>
    <w:link w:val="1"/>
    <w:qFormat/>
    <w:uiPriority w:val="0"/>
    <w:rPr>
      <w:rFonts w:ascii="Calibri" w:hAnsi="Calibri" w:eastAsia="宋体"/>
      <w:sz w:val="21"/>
      <w:szCs w:val="22"/>
      <w:lang w:val="en-US" w:eastAsia="zh-CN" w:bidi="ar-SA"/>
    </w:rPr>
  </w:style>
  <w:style w:type="character" w:customStyle="1" w:styleId="406">
    <w:name w:val="页眉 Char"/>
    <w:link w:val="1"/>
    <w:qFormat/>
    <w:uiPriority w:val="0"/>
    <w:rPr>
      <w:rFonts w:eastAsia="宋体"/>
      <w:sz w:val="18"/>
      <w:szCs w:val="18"/>
      <w:lang w:val="en-US" w:eastAsia="zh-CN" w:bidi="ar-SA"/>
    </w:rPr>
  </w:style>
  <w:style w:type="character" w:customStyle="1" w:styleId="407">
    <w:name w:val="标题 2 Char"/>
    <w:link w:val="1"/>
    <w:qFormat/>
    <w:uiPriority w:val="0"/>
    <w:rPr>
      <w:rFonts w:ascii="Arial" w:hAnsi="Arial" w:eastAsia="黑体"/>
      <w:b/>
      <w:sz w:val="30"/>
      <w:lang w:val="en-US" w:eastAsia="zh-CN" w:bidi="ar-SA"/>
    </w:rPr>
  </w:style>
  <w:style w:type="paragraph" w:customStyle="1" w:styleId="408">
    <w:name w:val="字元 字元2"/>
    <w:basedOn w:val="1"/>
    <w:qFormat/>
    <w:uiPriority w:val="0"/>
    <w:rPr>
      <w:rFonts w:ascii="Tahoma" w:hAnsi="Tahoma"/>
      <w:sz w:val="24"/>
      <w:szCs w:val="20"/>
    </w:rPr>
  </w:style>
  <w:style w:type="paragraph" w:customStyle="1" w:styleId="409">
    <w:name w:val="Char3 Char Char Char2"/>
    <w:basedOn w:val="1"/>
    <w:qFormat/>
    <w:uiPriority w:val="0"/>
    <w:rPr>
      <w:rFonts w:ascii="Tahoma" w:hAnsi="Tahoma"/>
      <w:sz w:val="24"/>
      <w:szCs w:val="20"/>
    </w:rPr>
  </w:style>
  <w:style w:type="paragraph" w:customStyle="1" w:styleId="410">
    <w:name w:val="正文文本缩进2"/>
    <w:basedOn w:val="1"/>
    <w:qFormat/>
    <w:uiPriority w:val="0"/>
    <w:pPr>
      <w:spacing w:line="480" w:lineRule="exact"/>
      <w:ind w:firstLine="480"/>
    </w:pPr>
    <w:rPr>
      <w:rFonts w:ascii="宋体" w:hAnsi="宋体"/>
      <w:sz w:val="24"/>
      <w:lang w:val="zh-CN" w:eastAsia="zh-CN"/>
    </w:rPr>
  </w:style>
  <w:style w:type="paragraph" w:customStyle="1" w:styleId="411">
    <w:name w:val="Char3"/>
    <w:basedOn w:val="1"/>
    <w:qFormat/>
    <w:uiPriority w:val="0"/>
    <w:pPr>
      <w:tabs>
        <w:tab w:val="left" w:pos="360"/>
      </w:tabs>
    </w:pPr>
    <w:rPr>
      <w:sz w:val="24"/>
    </w:rPr>
  </w:style>
  <w:style w:type="paragraph" w:customStyle="1" w:styleId="412">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3">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4">
    <w:name w:val="列出段落2"/>
    <w:basedOn w:val="1"/>
    <w:qFormat/>
    <w:uiPriority w:val="0"/>
    <w:pPr>
      <w:ind w:firstLine="420"/>
    </w:pPr>
    <w:rPr>
      <w:rFonts w:ascii="Calibri" w:hAnsi="Calibri"/>
      <w:szCs w:val="22"/>
    </w:rPr>
  </w:style>
  <w:style w:type="paragraph" w:customStyle="1" w:styleId="415">
    <w:name w:val="Char Char Char1 Char2"/>
    <w:basedOn w:val="1"/>
    <w:qFormat/>
    <w:uiPriority w:val="0"/>
    <w:rPr>
      <w:rFonts w:ascii="Tahoma" w:hAnsi="Tahoma"/>
      <w:sz w:val="24"/>
      <w:szCs w:val="20"/>
    </w:rPr>
  </w:style>
  <w:style w:type="paragraph" w:customStyle="1" w:styleId="416">
    <w:name w:val="Char Char Char2"/>
    <w:basedOn w:val="1"/>
    <w:qFormat/>
    <w:uiPriority w:val="0"/>
    <w:rPr>
      <w:rFonts w:ascii="Tahoma" w:hAnsi="Tahoma"/>
      <w:sz w:val="24"/>
      <w:szCs w:val="20"/>
    </w:rPr>
  </w:style>
  <w:style w:type="paragraph" w:customStyle="1" w:styleId="417">
    <w:name w:val="Char Char Char Char Char Char Char2"/>
    <w:basedOn w:val="1"/>
    <w:qFormat/>
    <w:uiPriority w:val="0"/>
    <w:pPr>
      <w:spacing w:line="360" w:lineRule="auto"/>
      <w:ind w:firstLine="200"/>
    </w:pPr>
    <w:rPr>
      <w:rFonts w:eastAsia="仿宋_GB2312"/>
      <w:sz w:val="24"/>
    </w:rPr>
  </w:style>
  <w:style w:type="paragraph" w:customStyle="1" w:styleId="418">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19">
    <w:name w:val="Revision"/>
    <w:qFormat/>
    <w:uiPriority w:val="0"/>
    <w:rPr>
      <w:rFonts w:hint="default" w:ascii="Times New Roman" w:hAnsi="Times New Roman" w:eastAsia="宋体" w:cs="Times New Roman"/>
      <w:sz w:val="21"/>
      <w:szCs w:val="24"/>
      <w:lang w:val="en-US" w:eastAsia="zh-CN" w:bidi="ar-SA"/>
    </w:rPr>
  </w:style>
  <w:style w:type="paragraph" w:customStyle="1" w:styleId="420">
    <w:name w:val="Char22"/>
    <w:basedOn w:val="1"/>
    <w:qFormat/>
    <w:uiPriority w:val="0"/>
    <w:rPr>
      <w:rFonts w:ascii="Tahoma" w:hAnsi="Tahoma"/>
      <w:sz w:val="24"/>
      <w:szCs w:val="20"/>
    </w:rPr>
  </w:style>
  <w:style w:type="paragraph" w:customStyle="1" w:styleId="421">
    <w:name w:val="Char Char Char Char Char Char Char Char Char Char2"/>
    <w:basedOn w:val="1"/>
    <w:qFormat/>
    <w:uiPriority w:val="0"/>
    <w:rPr>
      <w:rFonts w:ascii="宋体" w:hAnsi="宋体" w:cs="Courier New"/>
      <w:sz w:val="32"/>
      <w:szCs w:val="32"/>
    </w:rPr>
  </w:style>
  <w:style w:type="paragraph" w:customStyle="1" w:styleId="422">
    <w:name w:val="Char2 Char Char Char Char Char Char1"/>
    <w:basedOn w:val="1"/>
    <w:qFormat/>
    <w:uiPriority w:val="0"/>
    <w:pPr>
      <w:widowControl/>
      <w:spacing w:line="400" w:lineRule="exact"/>
      <w:jc w:val="center"/>
    </w:pPr>
  </w:style>
  <w:style w:type="character" w:customStyle="1" w:styleId="423">
    <w:name w:val="页脚 Char"/>
    <w:link w:val="1"/>
    <w:qFormat/>
    <w:uiPriority w:val="0"/>
    <w:rPr>
      <w:rFonts w:ascii="宋体" w:eastAsia="宋体"/>
      <w:sz w:val="18"/>
      <w:lang w:val="en-US" w:eastAsia="zh-CN" w:bidi="ar-SA"/>
    </w:rPr>
  </w:style>
  <w:style w:type="paragraph" w:customStyle="1" w:styleId="424">
    <w:name w:val="Char Char41"/>
    <w:basedOn w:val="1"/>
    <w:qFormat/>
    <w:uiPriority w:val="0"/>
    <w:pPr>
      <w:widowControl/>
      <w:spacing w:line="400" w:lineRule="exact"/>
      <w:jc w:val="center"/>
    </w:pPr>
  </w:style>
  <w:style w:type="character" w:customStyle="1" w:styleId="425">
    <w:name w:val="批注文字 Char"/>
    <w:link w:val="1"/>
    <w:qFormat/>
    <w:uiPriority w:val="99"/>
    <w:rPr>
      <w:sz w:val="21"/>
      <w:szCs w:val="24"/>
    </w:rPr>
  </w:style>
  <w:style w:type="character" w:customStyle="1" w:styleId="426">
    <w:name w:val="标题 Char"/>
    <w:link w:val="1"/>
    <w:qFormat/>
    <w:uiPriority w:val="0"/>
    <w:rPr>
      <w:b/>
      <w:sz w:val="32"/>
    </w:rPr>
  </w:style>
  <w:style w:type="paragraph" w:customStyle="1" w:styleId="427">
    <w:name w:val="图例"/>
    <w:basedOn w:val="1"/>
    <w:qFormat/>
    <w:uiPriority w:val="0"/>
    <w:pPr>
      <w:spacing w:before="120" w:after="120" w:line="360" w:lineRule="auto"/>
      <w:jc w:val="center"/>
    </w:pPr>
    <w:rPr>
      <w:rFonts w:eastAsia="仿宋_GB2312"/>
      <w:b/>
      <w:sz w:val="24"/>
      <w:szCs w:val="20"/>
    </w:rPr>
  </w:style>
  <w:style w:type="paragraph" w:customStyle="1" w:styleId="428">
    <w:name w:val="Table Paragraph"/>
    <w:basedOn w:val="1"/>
    <w:qFormat/>
    <w:uiPriority w:val="1"/>
    <w:pPr>
      <w:jc w:val="left"/>
    </w:pPr>
    <w:rPr>
      <w:rFonts w:ascii="宋体" w:hAnsi="宋体" w:cs="宋体"/>
      <w:sz w:val="22"/>
      <w:szCs w:val="22"/>
      <w:lang w:eastAsia="en-US"/>
    </w:rPr>
  </w:style>
  <w:style w:type="table" w:customStyle="1" w:styleId="429">
    <w:name w:val="Table Normal"/>
    <w:semiHidden/>
    <w:qFormat/>
    <w:uiPriority w:val="2"/>
    <w:pPr>
      <w:widowControl w:val="0"/>
    </w:pPr>
    <w:rPr>
      <w:rFonts w:ascii="Calibri" w:hAnsi="Calibri"/>
      <w:sz w:val="22"/>
      <w:szCs w:val="22"/>
      <w:lang w:val="en-US" w:eastAsia="en-US" w:bidi="ar-SA"/>
    </w:rPr>
  </w:style>
  <w:style w:type="paragraph" w:customStyle="1" w:styleId="430">
    <w:name w:val="成文日期"/>
    <w:basedOn w:val="1"/>
    <w:link w:val="431"/>
    <w:qFormat/>
    <w:uiPriority w:val="0"/>
    <w:pPr>
      <w:spacing w:line="570" w:lineRule="exact"/>
      <w:ind w:right="400" w:firstLine="200"/>
      <w:jc w:val="right"/>
    </w:pPr>
    <w:rPr>
      <w:rFonts w:ascii="仿宋_GB2312" w:eastAsia="仿宋_GB2312"/>
      <w:sz w:val="32"/>
      <w:szCs w:val="20"/>
    </w:rPr>
  </w:style>
  <w:style w:type="character" w:customStyle="1" w:styleId="431">
    <w:name w:val="成文日期 Char"/>
    <w:link w:val="430"/>
    <w:qFormat/>
    <w:uiPriority w:val="0"/>
    <w:rPr>
      <w:rFonts w:ascii="仿宋_GB2312" w:eastAsia="仿宋_GB2312"/>
      <w:sz w:val="32"/>
    </w:rPr>
  </w:style>
  <w:style w:type="paragraph" w:customStyle="1" w:styleId="432">
    <w:name w:val="样式4"/>
    <w:basedOn w:val="1"/>
    <w:qFormat/>
    <w:uiPriority w:val="0"/>
    <w:rPr>
      <w:sz w:val="24"/>
      <w:szCs w:val="24"/>
    </w:rPr>
  </w:style>
  <w:style w:type="paragraph" w:customStyle="1" w:styleId="433">
    <w:name w:val="number1"/>
    <w:basedOn w:val="1"/>
    <w:qFormat/>
    <w:uiPriority w:val="0"/>
    <w:pPr>
      <w:spacing w:before="100" w:beforeAutospacing="1" w:line="360" w:lineRule="auto"/>
      <w:jc w:val="left"/>
    </w:pPr>
    <w:rPr>
      <w:rFonts w:ascii="Arial" w:hAnsi="Arial" w:cs="Arial"/>
      <w:sz w:val="24"/>
      <w:szCs w:val="24"/>
    </w:rPr>
  </w:style>
  <w:style w:type="paragraph" w:customStyle="1" w:styleId="434">
    <w:name w:val="纯文本1"/>
    <w:next w:val="235"/>
    <w:qFormat/>
    <w:uiPriority w:val="0"/>
    <w:pPr>
      <w:widowControl w:val="0"/>
      <w:jc w:val="both"/>
    </w:pPr>
    <w:rPr>
      <w:rFonts w:hint="default" w:ascii="宋体" w:hAnsi="宋体" w:eastAsia="宋体" w:cs="Times New Roman"/>
      <w:sz w:val="26"/>
      <w:lang w:val="en-US" w:eastAsia="zh-CN" w:bidi="ar-SA"/>
    </w:rPr>
  </w:style>
  <w:style w:type="character" w:customStyle="1" w:styleId="435">
    <w:name w:val="font11"/>
    <w:link w:val="1"/>
    <w:qFormat/>
    <w:uiPriority w:val="0"/>
    <w:rPr>
      <w:rFonts w:hint="eastAsia" w:ascii="仿宋" w:hAnsi="仿宋" w:eastAsia="仿宋" w:cs="仿宋"/>
      <w:color w:val="000000"/>
      <w:sz w:val="21"/>
      <w:szCs w:val="21"/>
      <w:u w:val="none"/>
    </w:rPr>
  </w:style>
  <w:style w:type="paragraph" w:customStyle="1" w:styleId="436">
    <w:name w:val="段"/>
    <w:next w:val="1"/>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437">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header" Target="header7.xml"/><Relationship Id="rId18" Type="http://schemas.openxmlformats.org/officeDocument/2006/relationships/header" Target="header6.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Company>
  <Pages>57</Pages>
  <Words>11728</Words>
  <Characters>12402</Characters>
  <TotalTime>40</TotalTime>
  <ScaleCrop>false</ScaleCrop>
  <LinksUpToDate>false</LinksUpToDate>
  <CharactersWithSpaces>12614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2022-05-30T08:03:00Z</dcterms:created>
  <dc:creator>Yin </dc:creator>
  <cp:lastModifiedBy>panpan</cp:lastModifiedBy>
  <dcterms:modified xsi:type="dcterms:W3CDTF">2025-12-25T07:22:57Z</dcterms:modified>
  <dc:title>02年杜</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1B6F58C3107742B693A698B4758F7959_13</vt:lpwstr>
  </property>
  <property fmtid="{D5CDD505-2E9C-101B-9397-08002B2CF9AE}" pid="4" name="KSOTemplateDocerSaveRecord">
    <vt:lpwstr>eyJoZGlkIjoiZDU1NDE1OWRmM2RjZTlkNDQwYjJmYjc4ODNhMmRlNTMiLCJ1c2VySWQiOiIxMDM1MzM0NTI4In0=</vt:lpwstr>
  </property>
</Properties>
</file>